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D1E" w:rsidRPr="001F0D1E" w:rsidRDefault="001F0D1E" w:rsidP="001F0D1E">
      <w:pPr>
        <w:adjustRightInd/>
        <w:snapToGrid/>
        <w:spacing w:after="0"/>
        <w:rPr>
          <w:rFonts w:ascii="宋体" w:eastAsia="宋体" w:hAnsi="宋体" w:cs="宋体"/>
          <w:color w:val="070707"/>
          <w:sz w:val="21"/>
          <w:szCs w:val="21"/>
        </w:rPr>
      </w:pPr>
      <w:r w:rsidRPr="001F0D1E">
        <w:rPr>
          <w:rFonts w:ascii="宋体" w:eastAsia="宋体" w:hAnsi="宋体" w:cs="宋体" w:hint="eastAsia"/>
          <w:color w:val="070707"/>
          <w:sz w:val="21"/>
          <w:szCs w:val="21"/>
        </w:rPr>
        <w:t>木马和僵尸网络监测与处置机制 </w:t>
      </w:r>
      <w:r w:rsidRPr="001F0D1E">
        <w:rPr>
          <w:rFonts w:ascii="宋体" w:eastAsia="宋体" w:hAnsi="宋体" w:cs="宋体" w:hint="eastAsia"/>
          <w:color w:val="070707"/>
          <w:sz w:val="21"/>
          <w:szCs w:val="21"/>
        </w:rPr>
        <w:br/>
      </w:r>
      <w:r w:rsidRPr="001F0D1E">
        <w:rPr>
          <w:rFonts w:ascii="宋体" w:eastAsia="宋体" w:hAnsi="宋体" w:cs="宋体" w:hint="eastAsia"/>
          <w:color w:val="070707"/>
          <w:sz w:val="21"/>
          <w:szCs w:val="21"/>
        </w:rPr>
        <w:br/>
        <w:t>第一条 为有效防范和处置木马和僵尸网络引发的网络安全隐患，规范监测和处置行为，净化网络环境，维护我国公共互联网安全，依据《中华人民共和国电信条例》、《互联网网络安全应急预案》，制定本办法。</w:t>
      </w:r>
    </w:p>
    <w:p w:rsidR="001F0D1E" w:rsidRPr="001F0D1E" w:rsidRDefault="001F0D1E" w:rsidP="001F0D1E">
      <w:pPr>
        <w:adjustRightInd/>
        <w:snapToGrid/>
        <w:spacing w:after="0"/>
        <w:rPr>
          <w:rFonts w:ascii="宋体" w:eastAsia="宋体" w:hAnsi="宋体" w:cs="宋体" w:hint="eastAsia"/>
          <w:color w:val="070707"/>
          <w:sz w:val="21"/>
          <w:szCs w:val="21"/>
        </w:rPr>
      </w:pPr>
      <w:r w:rsidRPr="001F0D1E">
        <w:rPr>
          <w:rFonts w:ascii="宋体" w:eastAsia="宋体" w:hAnsi="宋体" w:cs="宋体" w:hint="eastAsia"/>
          <w:color w:val="070707"/>
          <w:sz w:val="21"/>
          <w:szCs w:val="21"/>
        </w:rPr>
        <w:t>第二条 木马是指由攻击者安装在受害者计算机上秘密运行并用于窃取信息及远程控制的程序。僵尸网络是指由攻击者通过控制服务器控制的受害计算机群。木马和僵尸网络对网络信息安全造成危害和威胁，是造成个人隐私泄露、失泄密、垃圾邮件和大规模拒绝服务攻击的重要原因。</w:t>
      </w:r>
    </w:p>
    <w:p w:rsidR="001F0D1E" w:rsidRPr="001F0D1E" w:rsidRDefault="001F0D1E" w:rsidP="001F0D1E">
      <w:pPr>
        <w:adjustRightInd/>
        <w:snapToGrid/>
        <w:spacing w:after="0"/>
        <w:rPr>
          <w:rFonts w:ascii="宋体" w:eastAsia="宋体" w:hAnsi="宋体" w:cs="宋体" w:hint="eastAsia"/>
          <w:color w:val="070707"/>
          <w:sz w:val="21"/>
          <w:szCs w:val="21"/>
        </w:rPr>
      </w:pPr>
      <w:r w:rsidRPr="001F0D1E">
        <w:rPr>
          <w:rFonts w:ascii="宋体" w:eastAsia="宋体" w:hAnsi="宋体" w:cs="宋体" w:hint="eastAsia"/>
          <w:color w:val="070707"/>
          <w:sz w:val="21"/>
          <w:szCs w:val="21"/>
        </w:rPr>
        <w:t>第三条 本办法适用于对危害公共互联网安全的木马和僵尸网络控制端（以下简称木马和僵尸网络）及其使用的IP地址和恶意域名的监测和处置。</w:t>
      </w:r>
    </w:p>
    <w:p w:rsidR="001F0D1E" w:rsidRPr="001F0D1E" w:rsidRDefault="001F0D1E" w:rsidP="001F0D1E">
      <w:pPr>
        <w:adjustRightInd/>
        <w:snapToGrid/>
        <w:spacing w:after="0"/>
        <w:rPr>
          <w:rFonts w:ascii="宋体" w:eastAsia="宋体" w:hAnsi="宋体" w:cs="宋体" w:hint="eastAsia"/>
          <w:color w:val="070707"/>
          <w:sz w:val="21"/>
          <w:szCs w:val="21"/>
        </w:rPr>
      </w:pPr>
      <w:r w:rsidRPr="001F0D1E">
        <w:rPr>
          <w:rFonts w:ascii="宋体" w:eastAsia="宋体" w:hAnsi="宋体" w:cs="宋体" w:hint="eastAsia"/>
          <w:color w:val="070707"/>
          <w:sz w:val="21"/>
          <w:szCs w:val="21"/>
        </w:rPr>
        <w:t>第四条 工业和信息化部指导、组织、监督全国木马和僵尸网络的监测和处置工作。工业和信息化部通信保障局（以下简称通信保障局）负责具体工作。</w:t>
      </w:r>
    </w:p>
    <w:p w:rsidR="001F0D1E" w:rsidRPr="001F0D1E" w:rsidRDefault="001F0D1E" w:rsidP="001F0D1E">
      <w:pPr>
        <w:adjustRightInd/>
        <w:snapToGrid/>
        <w:spacing w:after="0"/>
        <w:rPr>
          <w:rFonts w:ascii="宋体" w:eastAsia="宋体" w:hAnsi="宋体" w:cs="宋体" w:hint="eastAsia"/>
          <w:color w:val="070707"/>
          <w:sz w:val="21"/>
          <w:szCs w:val="21"/>
        </w:rPr>
      </w:pPr>
      <w:r w:rsidRPr="001F0D1E">
        <w:rPr>
          <w:rFonts w:ascii="宋体" w:eastAsia="宋体" w:hAnsi="宋体" w:cs="宋体" w:hint="eastAsia"/>
          <w:color w:val="070707"/>
          <w:sz w:val="21"/>
          <w:szCs w:val="21"/>
        </w:rPr>
        <w:t>各省、自治区、直辖市通信管理局（以下简称通信管理局）指导、组织、监督本行政区域内木马和僵尸网络的监测和处置工作。</w:t>
      </w:r>
    </w:p>
    <w:p w:rsidR="001F0D1E" w:rsidRPr="001F0D1E" w:rsidRDefault="001F0D1E" w:rsidP="001F0D1E">
      <w:pPr>
        <w:adjustRightInd/>
        <w:snapToGrid/>
        <w:spacing w:after="0"/>
        <w:rPr>
          <w:rFonts w:ascii="宋体" w:eastAsia="宋体" w:hAnsi="宋体" w:cs="宋体" w:hint="eastAsia"/>
          <w:color w:val="070707"/>
          <w:sz w:val="21"/>
          <w:szCs w:val="21"/>
        </w:rPr>
      </w:pPr>
      <w:r w:rsidRPr="001F0D1E">
        <w:rPr>
          <w:rFonts w:ascii="宋体" w:eastAsia="宋体" w:hAnsi="宋体" w:cs="宋体" w:hint="eastAsia"/>
          <w:color w:val="070707"/>
          <w:sz w:val="21"/>
          <w:szCs w:val="21"/>
        </w:rPr>
        <w:t>国家计算机网络应急技术处理协调中心（以下简称CNCERT）受通信保障局委托，负责对木马和僵尸网络的规模、类型、活跃程度、危害等情况进行监测、汇总、分析、核实，组织开展通报工作，协调处置木马和僵尸网络IP地址和恶意域名。</w:t>
      </w:r>
    </w:p>
    <w:p w:rsidR="001F0D1E" w:rsidRPr="001F0D1E" w:rsidRDefault="001F0D1E" w:rsidP="001F0D1E">
      <w:pPr>
        <w:adjustRightInd/>
        <w:snapToGrid/>
        <w:spacing w:after="0"/>
        <w:rPr>
          <w:rFonts w:ascii="宋体" w:eastAsia="宋体" w:hAnsi="宋体" w:cs="宋体" w:hint="eastAsia"/>
          <w:color w:val="070707"/>
          <w:sz w:val="21"/>
          <w:szCs w:val="21"/>
        </w:rPr>
      </w:pPr>
      <w:r w:rsidRPr="001F0D1E">
        <w:rPr>
          <w:rFonts w:ascii="宋体" w:eastAsia="宋体" w:hAnsi="宋体" w:cs="宋体" w:hint="eastAsia"/>
          <w:color w:val="070707"/>
          <w:sz w:val="21"/>
          <w:szCs w:val="21"/>
        </w:rPr>
        <w:t>基础电信运营企业负责对本单位网内木马和僵尸网络进行监测、核实，对CNCERT汇总通报的涉及本单位的木马和僵尸网络进行处置和反馈。</w:t>
      </w:r>
    </w:p>
    <w:p w:rsidR="001F0D1E" w:rsidRPr="001F0D1E" w:rsidRDefault="001F0D1E" w:rsidP="001F0D1E">
      <w:pPr>
        <w:adjustRightInd/>
        <w:snapToGrid/>
        <w:spacing w:after="0"/>
        <w:rPr>
          <w:rFonts w:ascii="宋体" w:eastAsia="宋体" w:hAnsi="宋体" w:cs="宋体" w:hint="eastAsia"/>
          <w:color w:val="070707"/>
          <w:sz w:val="21"/>
          <w:szCs w:val="21"/>
        </w:rPr>
      </w:pPr>
      <w:r w:rsidRPr="001F0D1E">
        <w:rPr>
          <w:rFonts w:ascii="宋体" w:eastAsia="宋体" w:hAnsi="宋体" w:cs="宋体" w:hint="eastAsia"/>
          <w:color w:val="070707"/>
          <w:sz w:val="21"/>
          <w:szCs w:val="21"/>
        </w:rPr>
        <w:t>互联网域名注册管理机构负责对CNCERT通报的由自身管理的恶意域名进行处置。对于由国内互联网域名注册服务机构注册的由境外域名注册管理机构管理的域名，由CNCERT直接协调国内互联网域名注册服务机构进行处置。</w:t>
      </w:r>
    </w:p>
    <w:p w:rsidR="001F0D1E" w:rsidRPr="001F0D1E" w:rsidRDefault="001F0D1E" w:rsidP="001F0D1E">
      <w:pPr>
        <w:adjustRightInd/>
        <w:snapToGrid/>
        <w:spacing w:after="0"/>
        <w:rPr>
          <w:rFonts w:ascii="宋体" w:eastAsia="宋体" w:hAnsi="宋体" w:cs="宋体" w:hint="eastAsia"/>
          <w:color w:val="070707"/>
          <w:sz w:val="21"/>
          <w:szCs w:val="21"/>
        </w:rPr>
      </w:pPr>
      <w:r w:rsidRPr="001F0D1E">
        <w:rPr>
          <w:rFonts w:ascii="宋体" w:eastAsia="宋体" w:hAnsi="宋体" w:cs="宋体" w:hint="eastAsia"/>
          <w:color w:val="070707"/>
          <w:sz w:val="21"/>
          <w:szCs w:val="21"/>
        </w:rPr>
        <w:t>第五条 基础电信运营企业、互联网接入服务提供商、IDC服务提供商、互联网域名注册管理机构、国内互联网域名注册服务机构在提供互联网接入服务、域名解析服务时，应在与用户签订的服务协议、合同中告知用户承担的网络安全保障责任。</w:t>
      </w:r>
    </w:p>
    <w:p w:rsidR="001F0D1E" w:rsidRPr="001F0D1E" w:rsidRDefault="001F0D1E" w:rsidP="001F0D1E">
      <w:pPr>
        <w:adjustRightInd/>
        <w:snapToGrid/>
        <w:spacing w:after="0"/>
        <w:rPr>
          <w:rFonts w:ascii="宋体" w:eastAsia="宋体" w:hAnsi="宋体" w:cs="宋体" w:hint="eastAsia"/>
          <w:color w:val="070707"/>
          <w:sz w:val="21"/>
          <w:szCs w:val="21"/>
        </w:rPr>
      </w:pPr>
      <w:r w:rsidRPr="001F0D1E">
        <w:rPr>
          <w:rFonts w:ascii="宋体" w:eastAsia="宋体" w:hAnsi="宋体" w:cs="宋体" w:hint="eastAsia"/>
          <w:color w:val="070707"/>
          <w:sz w:val="21"/>
          <w:szCs w:val="21"/>
        </w:rPr>
        <w:t>第六条 CNCERT、基础电信运营企业应不断提高木马和僵尸网络的监测能力。CNCERT、基础电信运营企业、互联网域名注册管理机构、国内互联网域名注册服务机构应建立健全本单位的处置机制，协同配合、快速处置，共同做好木马和僵尸网络的监测和处置工作。</w:t>
      </w:r>
    </w:p>
    <w:p w:rsidR="001F0D1E" w:rsidRPr="001F0D1E" w:rsidRDefault="001F0D1E" w:rsidP="001F0D1E">
      <w:pPr>
        <w:adjustRightInd/>
        <w:snapToGrid/>
        <w:spacing w:after="0"/>
        <w:rPr>
          <w:rFonts w:ascii="宋体" w:eastAsia="宋体" w:hAnsi="宋体" w:cs="宋体" w:hint="eastAsia"/>
          <w:color w:val="070707"/>
          <w:sz w:val="21"/>
          <w:szCs w:val="21"/>
        </w:rPr>
      </w:pPr>
      <w:r w:rsidRPr="001F0D1E">
        <w:rPr>
          <w:rFonts w:ascii="宋体" w:eastAsia="宋体" w:hAnsi="宋体" w:cs="宋体" w:hint="eastAsia"/>
          <w:color w:val="070707"/>
          <w:sz w:val="21"/>
          <w:szCs w:val="21"/>
        </w:rPr>
        <w:t>第七条 木马和僵尸网络事件分为特别重大、重大、较大、一般共四级。</w:t>
      </w:r>
    </w:p>
    <w:p w:rsidR="001F0D1E" w:rsidRPr="001F0D1E" w:rsidRDefault="001F0D1E" w:rsidP="001F0D1E">
      <w:pPr>
        <w:adjustRightInd/>
        <w:snapToGrid/>
        <w:spacing w:after="0"/>
        <w:rPr>
          <w:rFonts w:ascii="宋体" w:eastAsia="宋体" w:hAnsi="宋体" w:cs="宋体" w:hint="eastAsia"/>
          <w:color w:val="070707"/>
          <w:sz w:val="21"/>
          <w:szCs w:val="21"/>
        </w:rPr>
      </w:pPr>
      <w:r w:rsidRPr="001F0D1E">
        <w:rPr>
          <w:rFonts w:ascii="宋体" w:eastAsia="宋体" w:hAnsi="宋体" w:cs="宋体" w:hint="eastAsia"/>
          <w:color w:val="070707"/>
          <w:sz w:val="21"/>
          <w:szCs w:val="21"/>
        </w:rPr>
        <w:t>特别重大事件：涉及全国范围或省级行政区域，单个木马和僵尸网络规模超过100万个IP地址，对社会造成特别重大影响。</w:t>
      </w:r>
    </w:p>
    <w:p w:rsidR="001F0D1E" w:rsidRPr="001F0D1E" w:rsidRDefault="001F0D1E" w:rsidP="001F0D1E">
      <w:pPr>
        <w:adjustRightInd/>
        <w:snapToGrid/>
        <w:spacing w:after="0"/>
        <w:rPr>
          <w:rFonts w:ascii="宋体" w:eastAsia="宋体" w:hAnsi="宋体" w:cs="宋体" w:hint="eastAsia"/>
          <w:color w:val="070707"/>
          <w:sz w:val="21"/>
          <w:szCs w:val="21"/>
        </w:rPr>
      </w:pPr>
      <w:r w:rsidRPr="001F0D1E">
        <w:rPr>
          <w:rFonts w:ascii="宋体" w:eastAsia="宋体" w:hAnsi="宋体" w:cs="宋体" w:hint="eastAsia"/>
          <w:color w:val="070707"/>
          <w:sz w:val="21"/>
          <w:szCs w:val="21"/>
        </w:rPr>
        <w:t>重大事件：涉及全国范围或省级行政区域，同一时期存在一个或多个木马和僵尸网络，总规模超过50万个IP地址，对社会造成重大影响。</w:t>
      </w:r>
    </w:p>
    <w:p w:rsidR="001F0D1E" w:rsidRPr="001F0D1E" w:rsidRDefault="001F0D1E" w:rsidP="001F0D1E">
      <w:pPr>
        <w:adjustRightInd/>
        <w:snapToGrid/>
        <w:spacing w:after="0"/>
        <w:rPr>
          <w:rFonts w:ascii="宋体" w:eastAsia="宋体" w:hAnsi="宋体" w:cs="宋体" w:hint="eastAsia"/>
          <w:color w:val="070707"/>
          <w:sz w:val="21"/>
          <w:szCs w:val="21"/>
        </w:rPr>
      </w:pPr>
      <w:r w:rsidRPr="001F0D1E">
        <w:rPr>
          <w:rFonts w:ascii="宋体" w:eastAsia="宋体" w:hAnsi="宋体" w:cs="宋体" w:hint="eastAsia"/>
          <w:color w:val="070707"/>
          <w:sz w:val="21"/>
          <w:szCs w:val="21"/>
        </w:rPr>
        <w:t>较大事件：涉及全国范围或省级行政区域，同一时期存在一个或多个木马和僵尸网络，总规模超过10万个IP地址，对社会造成较大影响。</w:t>
      </w:r>
    </w:p>
    <w:p w:rsidR="001F0D1E" w:rsidRPr="001F0D1E" w:rsidRDefault="001F0D1E" w:rsidP="001F0D1E">
      <w:pPr>
        <w:adjustRightInd/>
        <w:snapToGrid/>
        <w:spacing w:after="0"/>
        <w:rPr>
          <w:rFonts w:ascii="宋体" w:eastAsia="宋体" w:hAnsi="宋体" w:cs="宋体" w:hint="eastAsia"/>
          <w:color w:val="070707"/>
          <w:sz w:val="21"/>
          <w:szCs w:val="21"/>
        </w:rPr>
      </w:pPr>
      <w:r w:rsidRPr="001F0D1E">
        <w:rPr>
          <w:rFonts w:ascii="宋体" w:eastAsia="宋体" w:hAnsi="宋体" w:cs="宋体" w:hint="eastAsia"/>
          <w:color w:val="070707"/>
          <w:sz w:val="21"/>
          <w:szCs w:val="21"/>
        </w:rPr>
        <w:t>一般事件：涉及全国范围或省级行政区域，发生木马和僵尸网络事件，对社会造成一定影响，但未造成上述后果。</w:t>
      </w:r>
    </w:p>
    <w:p w:rsidR="001F0D1E" w:rsidRPr="001F0D1E" w:rsidRDefault="001F0D1E" w:rsidP="001F0D1E">
      <w:pPr>
        <w:adjustRightInd/>
        <w:snapToGrid/>
        <w:spacing w:after="0"/>
        <w:rPr>
          <w:rFonts w:ascii="宋体" w:eastAsia="宋体" w:hAnsi="宋体" w:cs="宋体" w:hint="eastAsia"/>
          <w:color w:val="070707"/>
          <w:sz w:val="21"/>
          <w:szCs w:val="21"/>
        </w:rPr>
      </w:pPr>
      <w:r w:rsidRPr="001F0D1E">
        <w:rPr>
          <w:rFonts w:ascii="宋体" w:eastAsia="宋体" w:hAnsi="宋体" w:cs="宋体" w:hint="eastAsia"/>
          <w:color w:val="070707"/>
          <w:sz w:val="21"/>
          <w:szCs w:val="21"/>
        </w:rPr>
        <w:t>通信保障局负责对分级规范进行修订。</w:t>
      </w:r>
    </w:p>
    <w:p w:rsidR="001F0D1E" w:rsidRPr="001F0D1E" w:rsidRDefault="001F0D1E" w:rsidP="001F0D1E">
      <w:pPr>
        <w:adjustRightInd/>
        <w:snapToGrid/>
        <w:spacing w:after="0"/>
        <w:rPr>
          <w:rFonts w:ascii="宋体" w:eastAsia="宋体" w:hAnsi="宋体" w:cs="宋体" w:hint="eastAsia"/>
          <w:color w:val="070707"/>
          <w:sz w:val="21"/>
          <w:szCs w:val="21"/>
        </w:rPr>
      </w:pPr>
      <w:r w:rsidRPr="001F0D1E">
        <w:rPr>
          <w:rFonts w:ascii="宋体" w:eastAsia="宋体" w:hAnsi="宋体" w:cs="宋体" w:hint="eastAsia"/>
          <w:color w:val="070707"/>
          <w:sz w:val="21"/>
          <w:szCs w:val="21"/>
        </w:rPr>
        <w:t>第八条 监测和通报：</w:t>
      </w:r>
    </w:p>
    <w:p w:rsidR="001F0D1E" w:rsidRPr="001F0D1E" w:rsidRDefault="001F0D1E" w:rsidP="001F0D1E">
      <w:pPr>
        <w:adjustRightInd/>
        <w:snapToGrid/>
        <w:spacing w:after="0"/>
        <w:rPr>
          <w:rFonts w:ascii="宋体" w:eastAsia="宋体" w:hAnsi="宋体" w:cs="宋体" w:hint="eastAsia"/>
          <w:color w:val="070707"/>
          <w:sz w:val="21"/>
          <w:szCs w:val="21"/>
        </w:rPr>
      </w:pPr>
      <w:r w:rsidRPr="001F0D1E">
        <w:rPr>
          <w:rFonts w:ascii="宋体" w:eastAsia="宋体" w:hAnsi="宋体" w:cs="宋体" w:hint="eastAsia"/>
          <w:color w:val="070707"/>
          <w:sz w:val="21"/>
          <w:szCs w:val="21"/>
        </w:rPr>
        <w:t>（一）CNCERT、基础电信运营企业负责对木马和僵尸网络进行监测。</w:t>
      </w:r>
    </w:p>
    <w:p w:rsidR="001F0D1E" w:rsidRPr="001F0D1E" w:rsidRDefault="001F0D1E" w:rsidP="001F0D1E">
      <w:pPr>
        <w:adjustRightInd/>
        <w:snapToGrid/>
        <w:spacing w:after="0"/>
        <w:rPr>
          <w:rFonts w:ascii="宋体" w:eastAsia="宋体" w:hAnsi="宋体" w:cs="宋体" w:hint="eastAsia"/>
          <w:color w:val="070707"/>
          <w:sz w:val="21"/>
          <w:szCs w:val="21"/>
        </w:rPr>
      </w:pPr>
      <w:r w:rsidRPr="001F0D1E">
        <w:rPr>
          <w:rFonts w:ascii="宋体" w:eastAsia="宋体" w:hAnsi="宋体" w:cs="宋体" w:hint="eastAsia"/>
          <w:color w:val="070707"/>
          <w:sz w:val="21"/>
          <w:szCs w:val="21"/>
        </w:rPr>
        <w:t>（二）基础电信运营企业按照本机制第七条对监测到的事件进行分级，特别重大、重大、较大事件应在发现后2小时内报送通信保障局，同时抄报CNCERT；一般事件应在发现后5个工作日内报送CNCERT。</w:t>
      </w:r>
    </w:p>
    <w:p w:rsidR="001F0D1E" w:rsidRPr="001F0D1E" w:rsidRDefault="001F0D1E" w:rsidP="001F0D1E">
      <w:pPr>
        <w:adjustRightInd/>
        <w:snapToGrid/>
        <w:spacing w:after="0"/>
        <w:rPr>
          <w:rFonts w:ascii="宋体" w:eastAsia="宋体" w:hAnsi="宋体" w:cs="宋体" w:hint="eastAsia"/>
          <w:color w:val="070707"/>
          <w:sz w:val="21"/>
          <w:szCs w:val="21"/>
        </w:rPr>
      </w:pPr>
      <w:r w:rsidRPr="001F0D1E">
        <w:rPr>
          <w:rFonts w:ascii="宋体" w:eastAsia="宋体" w:hAnsi="宋体" w:cs="宋体" w:hint="eastAsia"/>
          <w:color w:val="070707"/>
          <w:sz w:val="21"/>
          <w:szCs w:val="21"/>
        </w:rPr>
        <w:t>报送内容包括：控制端IP地址、端口、发现时间及其使用的恶意域名。</w:t>
      </w:r>
    </w:p>
    <w:p w:rsidR="001F0D1E" w:rsidRPr="001F0D1E" w:rsidRDefault="001F0D1E" w:rsidP="001F0D1E">
      <w:pPr>
        <w:adjustRightInd/>
        <w:snapToGrid/>
        <w:spacing w:after="0"/>
        <w:rPr>
          <w:rFonts w:ascii="宋体" w:eastAsia="宋体" w:hAnsi="宋体" w:cs="宋体" w:hint="eastAsia"/>
          <w:color w:val="070707"/>
          <w:sz w:val="21"/>
          <w:szCs w:val="21"/>
        </w:rPr>
      </w:pPr>
      <w:r w:rsidRPr="001F0D1E">
        <w:rPr>
          <w:rFonts w:ascii="宋体" w:eastAsia="宋体" w:hAnsi="宋体" w:cs="宋体" w:hint="eastAsia"/>
          <w:color w:val="070707"/>
          <w:sz w:val="21"/>
          <w:szCs w:val="21"/>
        </w:rPr>
        <w:t>（三）CNCERT汇总自主监测、基础电信运营企业报送和从其他渠道收集的事件，进行综合分析、分级。对于特别重大、重大、较大事件，CNCERT应在2小时内向通信保障局报告，并及时通报相关通信管理局。通信保障局认为必要时，组织有关单位和专家进行研判。事件情况及研判结果由通信保障局直接或委托CNCERT通报相关单位。对于一般事件，CNCERT应在发现后5个工作日内通报相关单位。</w:t>
      </w:r>
    </w:p>
    <w:p w:rsidR="001F0D1E" w:rsidRPr="001F0D1E" w:rsidRDefault="001F0D1E" w:rsidP="001F0D1E">
      <w:pPr>
        <w:adjustRightInd/>
        <w:snapToGrid/>
        <w:spacing w:after="0"/>
        <w:rPr>
          <w:rFonts w:ascii="宋体" w:eastAsia="宋体" w:hAnsi="宋体" w:cs="宋体" w:hint="eastAsia"/>
          <w:color w:val="070707"/>
          <w:sz w:val="21"/>
          <w:szCs w:val="21"/>
        </w:rPr>
      </w:pPr>
      <w:r w:rsidRPr="001F0D1E">
        <w:rPr>
          <w:rFonts w:ascii="宋体" w:eastAsia="宋体" w:hAnsi="宋体" w:cs="宋体" w:hint="eastAsia"/>
          <w:color w:val="070707"/>
          <w:sz w:val="21"/>
          <w:szCs w:val="21"/>
        </w:rPr>
        <w:t>事件通报内容包括：</w:t>
      </w:r>
    </w:p>
    <w:p w:rsidR="001F0D1E" w:rsidRPr="001F0D1E" w:rsidRDefault="001F0D1E" w:rsidP="001F0D1E">
      <w:pPr>
        <w:adjustRightInd/>
        <w:snapToGrid/>
        <w:spacing w:after="0"/>
        <w:rPr>
          <w:rFonts w:ascii="宋体" w:eastAsia="宋体" w:hAnsi="宋体" w:cs="宋体" w:hint="eastAsia"/>
          <w:color w:val="070707"/>
          <w:sz w:val="21"/>
          <w:szCs w:val="21"/>
        </w:rPr>
      </w:pPr>
      <w:r w:rsidRPr="001F0D1E">
        <w:rPr>
          <w:rFonts w:ascii="宋体" w:eastAsia="宋体" w:hAnsi="宋体" w:cs="宋体" w:hint="eastAsia"/>
          <w:color w:val="070707"/>
          <w:sz w:val="21"/>
          <w:szCs w:val="21"/>
        </w:rPr>
        <w:lastRenderedPageBreak/>
        <w:t>1、威胁较大的木马和僵尸网络IP地址、端口、发现时间、所属基础电信运营企业。</w:t>
      </w:r>
    </w:p>
    <w:p w:rsidR="001F0D1E" w:rsidRPr="001F0D1E" w:rsidRDefault="001F0D1E" w:rsidP="001F0D1E">
      <w:pPr>
        <w:adjustRightInd/>
        <w:snapToGrid/>
        <w:spacing w:after="0"/>
        <w:rPr>
          <w:rFonts w:ascii="宋体" w:eastAsia="宋体" w:hAnsi="宋体" w:cs="宋体" w:hint="eastAsia"/>
          <w:color w:val="070707"/>
          <w:sz w:val="21"/>
          <w:szCs w:val="21"/>
        </w:rPr>
      </w:pPr>
      <w:r w:rsidRPr="001F0D1E">
        <w:rPr>
          <w:rFonts w:ascii="宋体" w:eastAsia="宋体" w:hAnsi="宋体" w:cs="宋体" w:hint="eastAsia"/>
          <w:color w:val="070707"/>
          <w:sz w:val="21"/>
          <w:szCs w:val="21"/>
        </w:rPr>
        <w:t>2、木马和僵尸网络使用的恶意域名。</w:t>
      </w:r>
    </w:p>
    <w:p w:rsidR="001F0D1E" w:rsidRPr="001F0D1E" w:rsidRDefault="001F0D1E" w:rsidP="001F0D1E">
      <w:pPr>
        <w:adjustRightInd/>
        <w:snapToGrid/>
        <w:spacing w:after="0"/>
        <w:rPr>
          <w:rFonts w:ascii="宋体" w:eastAsia="宋体" w:hAnsi="宋体" w:cs="宋体" w:hint="eastAsia"/>
          <w:color w:val="070707"/>
          <w:sz w:val="21"/>
          <w:szCs w:val="21"/>
        </w:rPr>
      </w:pPr>
      <w:r w:rsidRPr="001F0D1E">
        <w:rPr>
          <w:rFonts w:ascii="宋体" w:eastAsia="宋体" w:hAnsi="宋体" w:cs="宋体" w:hint="eastAsia"/>
          <w:color w:val="070707"/>
          <w:sz w:val="21"/>
          <w:szCs w:val="21"/>
        </w:rPr>
        <w:t>3、木马和僵尸网络的规模和潜在危害。</w:t>
      </w:r>
    </w:p>
    <w:p w:rsidR="001F0D1E" w:rsidRPr="001F0D1E" w:rsidRDefault="001F0D1E" w:rsidP="001F0D1E">
      <w:pPr>
        <w:adjustRightInd/>
        <w:snapToGrid/>
        <w:spacing w:after="0"/>
        <w:rPr>
          <w:rFonts w:ascii="宋体" w:eastAsia="宋体" w:hAnsi="宋体" w:cs="宋体" w:hint="eastAsia"/>
          <w:color w:val="070707"/>
          <w:sz w:val="21"/>
          <w:szCs w:val="21"/>
        </w:rPr>
      </w:pPr>
      <w:r w:rsidRPr="001F0D1E">
        <w:rPr>
          <w:rFonts w:ascii="宋体" w:eastAsia="宋体" w:hAnsi="宋体" w:cs="宋体" w:hint="eastAsia"/>
          <w:color w:val="070707"/>
          <w:sz w:val="21"/>
          <w:szCs w:val="21"/>
        </w:rPr>
        <w:t>监测和通报流程图见附件一。</w:t>
      </w:r>
    </w:p>
    <w:p w:rsidR="001F0D1E" w:rsidRPr="001F0D1E" w:rsidRDefault="001F0D1E" w:rsidP="001F0D1E">
      <w:pPr>
        <w:adjustRightInd/>
        <w:snapToGrid/>
        <w:spacing w:after="0"/>
        <w:rPr>
          <w:rFonts w:ascii="宋体" w:eastAsia="宋体" w:hAnsi="宋体" w:cs="宋体" w:hint="eastAsia"/>
          <w:color w:val="070707"/>
          <w:sz w:val="21"/>
          <w:szCs w:val="21"/>
        </w:rPr>
      </w:pPr>
      <w:r w:rsidRPr="001F0D1E">
        <w:rPr>
          <w:rFonts w:ascii="宋体" w:eastAsia="宋体" w:hAnsi="宋体" w:cs="宋体" w:hint="eastAsia"/>
          <w:color w:val="070707"/>
          <w:sz w:val="21"/>
          <w:szCs w:val="21"/>
        </w:rPr>
        <w:t>第九条 处置和反馈：</w:t>
      </w:r>
    </w:p>
    <w:p w:rsidR="001F0D1E" w:rsidRPr="001F0D1E" w:rsidRDefault="001F0D1E" w:rsidP="001F0D1E">
      <w:pPr>
        <w:adjustRightInd/>
        <w:snapToGrid/>
        <w:spacing w:after="0"/>
        <w:rPr>
          <w:rFonts w:ascii="宋体" w:eastAsia="宋体" w:hAnsi="宋体" w:cs="宋体" w:hint="eastAsia"/>
          <w:color w:val="070707"/>
          <w:sz w:val="21"/>
          <w:szCs w:val="21"/>
        </w:rPr>
      </w:pPr>
      <w:r w:rsidRPr="001F0D1E">
        <w:rPr>
          <w:rFonts w:ascii="宋体" w:eastAsia="宋体" w:hAnsi="宋体" w:cs="宋体" w:hint="eastAsia"/>
          <w:color w:val="070707"/>
          <w:sz w:val="21"/>
          <w:szCs w:val="21"/>
        </w:rPr>
        <w:t>基础电信运营企业、互联网域名注册管理机构、互联网域名注册服务机构接到CNCERT木马和僵尸网络事件通报后，应按如下流程处理：</w:t>
      </w:r>
    </w:p>
    <w:p w:rsidR="001F0D1E" w:rsidRPr="001F0D1E" w:rsidRDefault="001F0D1E" w:rsidP="001F0D1E">
      <w:pPr>
        <w:adjustRightInd/>
        <w:snapToGrid/>
        <w:spacing w:after="0"/>
        <w:rPr>
          <w:rFonts w:ascii="宋体" w:eastAsia="宋体" w:hAnsi="宋体" w:cs="宋体" w:hint="eastAsia"/>
          <w:color w:val="070707"/>
          <w:sz w:val="21"/>
          <w:szCs w:val="21"/>
        </w:rPr>
      </w:pPr>
      <w:r w:rsidRPr="001F0D1E">
        <w:rPr>
          <w:rFonts w:ascii="宋体" w:eastAsia="宋体" w:hAnsi="宋体" w:cs="宋体" w:hint="eastAsia"/>
          <w:color w:val="070707"/>
          <w:sz w:val="21"/>
          <w:szCs w:val="21"/>
        </w:rPr>
        <w:t>（一）通知与木马和僵尸网络IP地址和恶意域名相关的具体用户进行清除，并跟踪用户处置情况。</w:t>
      </w:r>
    </w:p>
    <w:p w:rsidR="001F0D1E" w:rsidRPr="001F0D1E" w:rsidRDefault="001F0D1E" w:rsidP="001F0D1E">
      <w:pPr>
        <w:adjustRightInd/>
        <w:snapToGrid/>
        <w:spacing w:after="0"/>
        <w:rPr>
          <w:rFonts w:ascii="宋体" w:eastAsia="宋体" w:hAnsi="宋体" w:cs="宋体" w:hint="eastAsia"/>
          <w:color w:val="070707"/>
          <w:sz w:val="21"/>
          <w:szCs w:val="21"/>
        </w:rPr>
      </w:pPr>
      <w:r w:rsidRPr="001F0D1E">
        <w:rPr>
          <w:rFonts w:ascii="宋体" w:eastAsia="宋体" w:hAnsi="宋体" w:cs="宋体" w:hint="eastAsia"/>
          <w:color w:val="070707"/>
          <w:sz w:val="21"/>
          <w:szCs w:val="21"/>
        </w:rPr>
        <w:t>对于域名注册信息不真实、不准确、不完整的，互联网域名注册管理机构、互联网域名注册服务机构根据《中国互联网域名管理办法》有关规定进行处置。</w:t>
      </w:r>
    </w:p>
    <w:p w:rsidR="001F0D1E" w:rsidRPr="001F0D1E" w:rsidRDefault="001F0D1E" w:rsidP="001F0D1E">
      <w:pPr>
        <w:adjustRightInd/>
        <w:snapToGrid/>
        <w:spacing w:after="0"/>
        <w:rPr>
          <w:rFonts w:ascii="宋体" w:eastAsia="宋体" w:hAnsi="宋体" w:cs="宋体" w:hint="eastAsia"/>
          <w:color w:val="070707"/>
          <w:sz w:val="21"/>
          <w:szCs w:val="21"/>
        </w:rPr>
      </w:pPr>
      <w:r w:rsidRPr="001F0D1E">
        <w:rPr>
          <w:rFonts w:ascii="宋体" w:eastAsia="宋体" w:hAnsi="宋体" w:cs="宋体" w:hint="eastAsia"/>
          <w:color w:val="070707"/>
          <w:sz w:val="21"/>
          <w:szCs w:val="21"/>
        </w:rPr>
        <w:t>（二）反馈用户的处置情况。特别重大、重大、较大事件的处置情况应在接到事件通报后4小时内向CNCERT反馈，一般事件的处置情况应在5个工作日内向CNCERT反馈。</w:t>
      </w:r>
    </w:p>
    <w:p w:rsidR="001F0D1E" w:rsidRPr="001F0D1E" w:rsidRDefault="001F0D1E" w:rsidP="001F0D1E">
      <w:pPr>
        <w:adjustRightInd/>
        <w:snapToGrid/>
        <w:spacing w:after="0"/>
        <w:rPr>
          <w:rFonts w:ascii="宋体" w:eastAsia="宋体" w:hAnsi="宋体" w:cs="宋体" w:hint="eastAsia"/>
          <w:color w:val="070707"/>
          <w:sz w:val="21"/>
          <w:szCs w:val="21"/>
        </w:rPr>
      </w:pPr>
      <w:r w:rsidRPr="001F0D1E">
        <w:rPr>
          <w:rFonts w:ascii="宋体" w:eastAsia="宋体" w:hAnsi="宋体" w:cs="宋体" w:hint="eastAsia"/>
          <w:color w:val="070707"/>
          <w:sz w:val="21"/>
          <w:szCs w:val="21"/>
        </w:rPr>
        <w:t>反馈内容包括：用户已处置的IP地址和恶意域名、单位名称、用户未处置的IP地址和恶意域名及未处置的原因。</w:t>
      </w:r>
    </w:p>
    <w:p w:rsidR="001F0D1E" w:rsidRPr="001F0D1E" w:rsidRDefault="001F0D1E" w:rsidP="001F0D1E">
      <w:pPr>
        <w:adjustRightInd/>
        <w:snapToGrid/>
        <w:spacing w:after="0"/>
        <w:rPr>
          <w:rFonts w:ascii="宋体" w:eastAsia="宋体" w:hAnsi="宋体" w:cs="宋体" w:hint="eastAsia"/>
          <w:color w:val="070707"/>
          <w:sz w:val="21"/>
          <w:szCs w:val="21"/>
        </w:rPr>
      </w:pPr>
      <w:r w:rsidRPr="001F0D1E">
        <w:rPr>
          <w:rFonts w:ascii="宋体" w:eastAsia="宋体" w:hAnsi="宋体" w:cs="宋体" w:hint="eastAsia"/>
          <w:color w:val="070707"/>
          <w:sz w:val="21"/>
          <w:szCs w:val="21"/>
        </w:rPr>
        <w:t>（三）监测单位验证处置情况。</w:t>
      </w:r>
    </w:p>
    <w:p w:rsidR="001F0D1E" w:rsidRPr="001F0D1E" w:rsidRDefault="001F0D1E" w:rsidP="001F0D1E">
      <w:pPr>
        <w:adjustRightInd/>
        <w:snapToGrid/>
        <w:spacing w:after="0"/>
        <w:rPr>
          <w:rFonts w:ascii="宋体" w:eastAsia="宋体" w:hAnsi="宋体" w:cs="宋体" w:hint="eastAsia"/>
          <w:color w:val="070707"/>
          <w:sz w:val="21"/>
          <w:szCs w:val="21"/>
        </w:rPr>
      </w:pPr>
      <w:r w:rsidRPr="001F0D1E">
        <w:rPr>
          <w:rFonts w:ascii="宋体" w:eastAsia="宋体" w:hAnsi="宋体" w:cs="宋体" w:hint="eastAsia"/>
          <w:color w:val="070707"/>
          <w:sz w:val="21"/>
          <w:szCs w:val="21"/>
        </w:rPr>
        <w:t>对于CNCERT自主监测的事件，由CNCERT对处置情况进行验证。特别重大、重大、较大事件应在接到处置单位反馈后2小时内向处置单位反馈验证结果，一般事件应在5个工作日内反馈验证结果。</w:t>
      </w:r>
    </w:p>
    <w:p w:rsidR="001F0D1E" w:rsidRPr="001F0D1E" w:rsidRDefault="001F0D1E" w:rsidP="001F0D1E">
      <w:pPr>
        <w:adjustRightInd/>
        <w:snapToGrid/>
        <w:spacing w:after="0"/>
        <w:rPr>
          <w:rFonts w:ascii="宋体" w:eastAsia="宋体" w:hAnsi="宋体" w:cs="宋体" w:hint="eastAsia"/>
          <w:color w:val="070707"/>
          <w:sz w:val="21"/>
          <w:szCs w:val="21"/>
        </w:rPr>
      </w:pPr>
      <w:r w:rsidRPr="001F0D1E">
        <w:rPr>
          <w:rFonts w:ascii="宋体" w:eastAsia="宋体" w:hAnsi="宋体" w:cs="宋体" w:hint="eastAsia"/>
          <w:color w:val="070707"/>
          <w:sz w:val="21"/>
          <w:szCs w:val="21"/>
        </w:rPr>
        <w:t>对于基础电信运营企业监测到的事件由基础电信运营企业自行验证。特别重大、重大、较大事件应在接到CNCERT事件通报后6小时内向CNCERT反馈验证结果，一般事件应在10个工作日内向CNCERT反馈验证结果。</w:t>
      </w:r>
    </w:p>
    <w:p w:rsidR="001F0D1E" w:rsidRPr="001F0D1E" w:rsidRDefault="001F0D1E" w:rsidP="001F0D1E">
      <w:pPr>
        <w:adjustRightInd/>
        <w:snapToGrid/>
        <w:spacing w:after="0"/>
        <w:rPr>
          <w:rFonts w:ascii="宋体" w:eastAsia="宋体" w:hAnsi="宋体" w:cs="宋体" w:hint="eastAsia"/>
          <w:color w:val="070707"/>
          <w:sz w:val="21"/>
          <w:szCs w:val="21"/>
        </w:rPr>
      </w:pPr>
      <w:r w:rsidRPr="001F0D1E">
        <w:rPr>
          <w:rFonts w:ascii="宋体" w:eastAsia="宋体" w:hAnsi="宋体" w:cs="宋体" w:hint="eastAsia"/>
          <w:color w:val="070707"/>
          <w:sz w:val="21"/>
          <w:szCs w:val="21"/>
        </w:rPr>
        <w:t>（四）对于未处置或经验证仍存在恶意连接的木马和僵尸网络IP地址和恶意域名，按如下方式处置：</w:t>
      </w:r>
    </w:p>
    <w:p w:rsidR="001F0D1E" w:rsidRPr="001F0D1E" w:rsidRDefault="001F0D1E" w:rsidP="001F0D1E">
      <w:pPr>
        <w:adjustRightInd/>
        <w:snapToGrid/>
        <w:spacing w:after="0"/>
        <w:rPr>
          <w:rFonts w:ascii="宋体" w:eastAsia="宋体" w:hAnsi="宋体" w:cs="宋体" w:hint="eastAsia"/>
          <w:color w:val="070707"/>
          <w:sz w:val="21"/>
          <w:szCs w:val="21"/>
        </w:rPr>
      </w:pPr>
      <w:r w:rsidRPr="001F0D1E">
        <w:rPr>
          <w:rFonts w:ascii="宋体" w:eastAsia="宋体" w:hAnsi="宋体" w:cs="宋体" w:hint="eastAsia"/>
          <w:color w:val="070707"/>
          <w:sz w:val="21"/>
          <w:szCs w:val="21"/>
        </w:rPr>
        <w:t>对于重要信息系统单位，向通信保障局反馈用户相关情况，抄报CNCERT，由通信保障局或当地通信管理局书面通知其主管部门。</w:t>
      </w:r>
    </w:p>
    <w:p w:rsidR="001F0D1E" w:rsidRPr="001F0D1E" w:rsidRDefault="001F0D1E" w:rsidP="001F0D1E">
      <w:pPr>
        <w:adjustRightInd/>
        <w:snapToGrid/>
        <w:spacing w:after="0"/>
        <w:rPr>
          <w:rFonts w:ascii="宋体" w:eastAsia="宋体" w:hAnsi="宋体" w:cs="宋体" w:hint="eastAsia"/>
          <w:color w:val="070707"/>
          <w:sz w:val="21"/>
          <w:szCs w:val="21"/>
        </w:rPr>
      </w:pPr>
      <w:r w:rsidRPr="001F0D1E">
        <w:rPr>
          <w:rFonts w:ascii="宋体" w:eastAsia="宋体" w:hAnsi="宋体" w:cs="宋体" w:hint="eastAsia"/>
          <w:color w:val="070707"/>
          <w:sz w:val="21"/>
          <w:szCs w:val="21"/>
        </w:rPr>
        <w:t>对于其他单位用户和个人用户，应依据与用户签署的服务协议、合同等进行处置。</w:t>
      </w:r>
    </w:p>
    <w:p w:rsidR="001F0D1E" w:rsidRPr="001F0D1E" w:rsidRDefault="001F0D1E" w:rsidP="001F0D1E">
      <w:pPr>
        <w:adjustRightInd/>
        <w:snapToGrid/>
        <w:spacing w:after="0"/>
        <w:rPr>
          <w:rFonts w:ascii="宋体" w:eastAsia="宋体" w:hAnsi="宋体" w:cs="宋体" w:hint="eastAsia"/>
          <w:color w:val="070707"/>
          <w:sz w:val="21"/>
          <w:szCs w:val="21"/>
        </w:rPr>
      </w:pPr>
      <w:r w:rsidRPr="001F0D1E">
        <w:rPr>
          <w:rFonts w:ascii="宋体" w:eastAsia="宋体" w:hAnsi="宋体" w:cs="宋体" w:hint="eastAsia"/>
          <w:color w:val="070707"/>
          <w:sz w:val="21"/>
          <w:szCs w:val="21"/>
        </w:rPr>
        <w:t>（五）对于特别重大、重大、较大事件的处置情况，CNCERT应在接到处置单位反馈后2小时内向通信保障局和相关通信管理局反馈处置结果，一般事件处置情况由CNCERT每月汇总，按照互联网网络安全信息通报有关办法通报监测和处置情况。</w:t>
      </w:r>
    </w:p>
    <w:p w:rsidR="001F0D1E" w:rsidRPr="001F0D1E" w:rsidRDefault="001F0D1E" w:rsidP="001F0D1E">
      <w:pPr>
        <w:adjustRightInd/>
        <w:snapToGrid/>
        <w:spacing w:after="0"/>
        <w:rPr>
          <w:rFonts w:ascii="宋体" w:eastAsia="宋体" w:hAnsi="宋体" w:cs="宋体" w:hint="eastAsia"/>
          <w:color w:val="070707"/>
          <w:sz w:val="21"/>
          <w:szCs w:val="21"/>
        </w:rPr>
      </w:pPr>
      <w:r w:rsidRPr="001F0D1E">
        <w:rPr>
          <w:rFonts w:ascii="宋体" w:eastAsia="宋体" w:hAnsi="宋体" w:cs="宋体" w:hint="eastAsia"/>
          <w:color w:val="070707"/>
          <w:sz w:val="21"/>
          <w:szCs w:val="21"/>
        </w:rPr>
        <w:t>处置和反馈流程见附件二。</w:t>
      </w:r>
    </w:p>
    <w:p w:rsidR="001F0D1E" w:rsidRPr="001F0D1E" w:rsidRDefault="001F0D1E" w:rsidP="001F0D1E">
      <w:pPr>
        <w:adjustRightInd/>
        <w:snapToGrid/>
        <w:spacing w:after="0"/>
        <w:rPr>
          <w:rFonts w:ascii="宋体" w:eastAsia="宋体" w:hAnsi="宋体" w:cs="宋体" w:hint="eastAsia"/>
          <w:color w:val="070707"/>
          <w:sz w:val="21"/>
          <w:szCs w:val="21"/>
        </w:rPr>
      </w:pPr>
      <w:r w:rsidRPr="001F0D1E">
        <w:rPr>
          <w:rFonts w:ascii="宋体" w:eastAsia="宋体" w:hAnsi="宋体" w:cs="宋体" w:hint="eastAsia"/>
          <w:color w:val="070707"/>
          <w:sz w:val="21"/>
          <w:szCs w:val="21"/>
        </w:rPr>
        <w:t>第十条 CNCERT、基础电信运营企业、互联网域名注册管理机构、国内互联网域名注册服务机构应留存木马和僵尸网络相关数据或资料以备查验。数据或资料保存时间为60天。</w:t>
      </w:r>
    </w:p>
    <w:p w:rsidR="001F0D1E" w:rsidRPr="001F0D1E" w:rsidRDefault="001F0D1E" w:rsidP="001F0D1E">
      <w:pPr>
        <w:adjustRightInd/>
        <w:snapToGrid/>
        <w:spacing w:after="0"/>
        <w:rPr>
          <w:rFonts w:ascii="宋体" w:eastAsia="宋体" w:hAnsi="宋体" w:cs="宋体" w:hint="eastAsia"/>
          <w:color w:val="070707"/>
          <w:sz w:val="21"/>
          <w:szCs w:val="21"/>
        </w:rPr>
      </w:pPr>
      <w:r w:rsidRPr="001F0D1E">
        <w:rPr>
          <w:rFonts w:ascii="宋体" w:eastAsia="宋体" w:hAnsi="宋体" w:cs="宋体" w:hint="eastAsia"/>
          <w:color w:val="070707"/>
          <w:sz w:val="21"/>
          <w:szCs w:val="21"/>
        </w:rPr>
        <w:t>第十一条 CNCERT、基础电信运营企业、互联网域名注册管理机构、国内域名注册服务机构应保护用户正当权益，规范处置流程，建立用户申诉机制，妥善解决用户争议。</w:t>
      </w:r>
    </w:p>
    <w:p w:rsidR="001F0D1E" w:rsidRPr="001F0D1E" w:rsidRDefault="001F0D1E" w:rsidP="001F0D1E">
      <w:pPr>
        <w:adjustRightInd/>
        <w:snapToGrid/>
        <w:spacing w:after="0"/>
        <w:rPr>
          <w:rFonts w:ascii="宋体" w:eastAsia="宋体" w:hAnsi="宋体" w:cs="宋体" w:hint="eastAsia"/>
          <w:color w:val="070707"/>
          <w:sz w:val="21"/>
          <w:szCs w:val="21"/>
        </w:rPr>
      </w:pPr>
      <w:r w:rsidRPr="001F0D1E">
        <w:rPr>
          <w:rFonts w:ascii="宋体" w:eastAsia="宋体" w:hAnsi="宋体" w:cs="宋体" w:hint="eastAsia"/>
          <w:color w:val="070707"/>
          <w:sz w:val="21"/>
          <w:szCs w:val="21"/>
        </w:rPr>
        <w:t>第十二条 通信保障局通过会商制度，组织相关单位和专家研讨木马和僵尸网络相关问题及其应对策略。</w:t>
      </w:r>
    </w:p>
    <w:p w:rsidR="001F0D1E" w:rsidRPr="001F0D1E" w:rsidRDefault="001F0D1E" w:rsidP="001F0D1E">
      <w:pPr>
        <w:adjustRightInd/>
        <w:snapToGrid/>
        <w:spacing w:after="0"/>
        <w:rPr>
          <w:rFonts w:ascii="宋体" w:eastAsia="宋体" w:hAnsi="宋体" w:cs="宋体" w:hint="eastAsia"/>
          <w:color w:val="070707"/>
          <w:sz w:val="21"/>
          <w:szCs w:val="21"/>
        </w:rPr>
      </w:pPr>
      <w:r w:rsidRPr="001F0D1E">
        <w:rPr>
          <w:rFonts w:ascii="宋体" w:eastAsia="宋体" w:hAnsi="宋体" w:cs="宋体" w:hint="eastAsia"/>
          <w:color w:val="070707"/>
          <w:sz w:val="21"/>
          <w:szCs w:val="21"/>
        </w:rPr>
        <w:t>第十三条 事件通报和反馈应按照统一表格以书面方式报送（报送格式见附件三）。紧急情况下，可以先电话联系，后补表格。</w:t>
      </w:r>
    </w:p>
    <w:p w:rsidR="001F0D1E" w:rsidRPr="001F0D1E" w:rsidRDefault="001F0D1E" w:rsidP="001F0D1E">
      <w:pPr>
        <w:adjustRightInd/>
        <w:snapToGrid/>
        <w:spacing w:after="0"/>
        <w:rPr>
          <w:rFonts w:ascii="宋体" w:eastAsia="宋体" w:hAnsi="宋体" w:cs="宋体" w:hint="eastAsia"/>
          <w:color w:val="070707"/>
          <w:sz w:val="21"/>
          <w:szCs w:val="21"/>
        </w:rPr>
      </w:pPr>
      <w:r w:rsidRPr="001F0D1E">
        <w:rPr>
          <w:rFonts w:ascii="宋体" w:eastAsia="宋体" w:hAnsi="宋体" w:cs="宋体" w:hint="eastAsia"/>
          <w:color w:val="070707"/>
          <w:sz w:val="21"/>
          <w:szCs w:val="21"/>
        </w:rPr>
        <w:t>第十四条 对于国家举办重要活动等特殊时期，对木马和僵尸网络监测和处置工作另有要求的，从其规定。</w:t>
      </w:r>
    </w:p>
    <w:p w:rsidR="001F0D1E" w:rsidRPr="001F0D1E" w:rsidRDefault="001F0D1E" w:rsidP="001F0D1E">
      <w:pPr>
        <w:adjustRightInd/>
        <w:snapToGrid/>
        <w:spacing w:after="0"/>
        <w:rPr>
          <w:rFonts w:ascii="宋体" w:eastAsia="宋体" w:hAnsi="宋体" w:cs="宋体" w:hint="eastAsia"/>
          <w:color w:val="070707"/>
          <w:sz w:val="21"/>
          <w:szCs w:val="21"/>
        </w:rPr>
      </w:pPr>
      <w:r w:rsidRPr="001F0D1E">
        <w:rPr>
          <w:rFonts w:ascii="宋体" w:eastAsia="宋体" w:hAnsi="宋体" w:cs="宋体" w:hint="eastAsia"/>
          <w:color w:val="070707"/>
          <w:sz w:val="21"/>
          <w:szCs w:val="21"/>
        </w:rPr>
        <w:t>第十五条 相关单位应将本单位木马和僵尸网络监测和处置工作主管领导，责任部门负责人、联系人、联系方式报送通信保障局，抄送CNCERT。以上信息发生变更，应在3个工作日内报送变更情况。</w:t>
      </w:r>
    </w:p>
    <w:p w:rsidR="001F0D1E" w:rsidRPr="001F0D1E" w:rsidRDefault="001F0D1E" w:rsidP="001F0D1E">
      <w:pPr>
        <w:adjustRightInd/>
        <w:snapToGrid/>
        <w:spacing w:after="0"/>
        <w:rPr>
          <w:rFonts w:ascii="宋体" w:eastAsia="宋体" w:hAnsi="宋体" w:cs="宋体" w:hint="eastAsia"/>
          <w:color w:val="070707"/>
          <w:sz w:val="21"/>
          <w:szCs w:val="21"/>
        </w:rPr>
      </w:pPr>
      <w:r w:rsidRPr="001F0D1E">
        <w:rPr>
          <w:rFonts w:ascii="宋体" w:eastAsia="宋体" w:hAnsi="宋体" w:cs="宋体" w:hint="eastAsia"/>
          <w:color w:val="070707"/>
          <w:sz w:val="21"/>
          <w:szCs w:val="21"/>
        </w:rPr>
        <w:t>第十六条 CNCERT应与非经营性互联单位合作，协调非经营性互联单位处置其网内木马和僵尸网络；应与网络安全研究机构、网络安全技术支撑单位、网络安全企业、病毒厂商等单位合作，建立研究、分析机制。</w:t>
      </w:r>
    </w:p>
    <w:p w:rsidR="001F0D1E" w:rsidRPr="001F0D1E" w:rsidRDefault="001F0D1E" w:rsidP="001F0D1E">
      <w:pPr>
        <w:adjustRightInd/>
        <w:snapToGrid/>
        <w:spacing w:after="0"/>
        <w:rPr>
          <w:rFonts w:ascii="宋体" w:eastAsia="宋体" w:hAnsi="宋体" w:cs="宋体" w:hint="eastAsia"/>
          <w:color w:val="070707"/>
          <w:sz w:val="21"/>
          <w:szCs w:val="21"/>
        </w:rPr>
      </w:pPr>
      <w:r w:rsidRPr="001F0D1E">
        <w:rPr>
          <w:rFonts w:ascii="宋体" w:eastAsia="宋体" w:hAnsi="宋体" w:cs="宋体" w:hint="eastAsia"/>
          <w:color w:val="070707"/>
          <w:sz w:val="21"/>
          <w:szCs w:val="21"/>
        </w:rPr>
        <w:t>本机制中非经营性互联单位指中国教育和科研计算机网、中国科技网、中国国际经济贸易网、中国长城互联网。</w:t>
      </w:r>
    </w:p>
    <w:p w:rsidR="001F0D1E" w:rsidRPr="001F0D1E" w:rsidRDefault="001F0D1E" w:rsidP="001F0D1E">
      <w:pPr>
        <w:adjustRightInd/>
        <w:snapToGrid/>
        <w:spacing w:after="0"/>
        <w:rPr>
          <w:rFonts w:ascii="宋体" w:eastAsia="宋体" w:hAnsi="宋体" w:cs="宋体" w:hint="eastAsia"/>
          <w:color w:val="070707"/>
          <w:sz w:val="21"/>
          <w:szCs w:val="21"/>
        </w:rPr>
      </w:pPr>
      <w:r w:rsidRPr="001F0D1E">
        <w:rPr>
          <w:rFonts w:ascii="宋体" w:eastAsia="宋体" w:hAnsi="宋体" w:cs="宋体" w:hint="eastAsia"/>
          <w:color w:val="070707"/>
          <w:sz w:val="21"/>
          <w:szCs w:val="21"/>
        </w:rPr>
        <w:t>第十七条 对于涉嫌犯罪的木马和僵尸网络事件，应报请公安机关依法调查处理。</w:t>
      </w:r>
    </w:p>
    <w:p w:rsidR="001F0D1E" w:rsidRPr="001F0D1E" w:rsidRDefault="001F0D1E" w:rsidP="001F0D1E">
      <w:pPr>
        <w:adjustRightInd/>
        <w:snapToGrid/>
        <w:spacing w:after="0"/>
        <w:rPr>
          <w:rFonts w:ascii="宋体" w:eastAsia="宋体" w:hAnsi="宋体" w:cs="宋体" w:hint="eastAsia"/>
          <w:color w:val="070707"/>
          <w:sz w:val="21"/>
          <w:szCs w:val="21"/>
        </w:rPr>
      </w:pPr>
      <w:r w:rsidRPr="001F0D1E">
        <w:rPr>
          <w:rFonts w:ascii="宋体" w:eastAsia="宋体" w:hAnsi="宋体" w:cs="宋体" w:hint="eastAsia"/>
          <w:color w:val="070707"/>
          <w:sz w:val="21"/>
          <w:szCs w:val="21"/>
        </w:rPr>
        <w:t>第十八条 通信管理局应参照本办法制定本行政区域内木马和僵尸网络监测和处置机制。</w:t>
      </w:r>
    </w:p>
    <w:p w:rsidR="001F0D1E" w:rsidRPr="001F0D1E" w:rsidRDefault="001F0D1E" w:rsidP="001F0D1E">
      <w:pPr>
        <w:adjustRightInd/>
        <w:snapToGrid/>
        <w:spacing w:after="0"/>
        <w:rPr>
          <w:rFonts w:ascii="宋体" w:eastAsia="宋体" w:hAnsi="宋体" w:cs="宋体" w:hint="eastAsia"/>
          <w:color w:val="070707"/>
          <w:sz w:val="21"/>
          <w:szCs w:val="21"/>
        </w:rPr>
      </w:pPr>
      <w:r w:rsidRPr="001F0D1E">
        <w:rPr>
          <w:rFonts w:ascii="宋体" w:eastAsia="宋体" w:hAnsi="宋体" w:cs="宋体" w:hint="eastAsia"/>
          <w:color w:val="070707"/>
          <w:sz w:val="21"/>
          <w:szCs w:val="21"/>
        </w:rPr>
        <w:lastRenderedPageBreak/>
        <w:t>基础电信运营企业集团公司应督促本单位省级公司按照当地通信管理局要求，及时反馈木马和僵尸网络事件监测处置情况，接受当地通信管理局的监督管理。</w:t>
      </w:r>
    </w:p>
    <w:p w:rsidR="001F0D1E" w:rsidRPr="001F0D1E" w:rsidRDefault="001F0D1E" w:rsidP="001F0D1E">
      <w:pPr>
        <w:adjustRightInd/>
        <w:snapToGrid/>
        <w:spacing w:after="0"/>
        <w:rPr>
          <w:rFonts w:ascii="宋体" w:eastAsia="宋体" w:hAnsi="宋体" w:cs="宋体" w:hint="eastAsia"/>
          <w:color w:val="070707"/>
          <w:sz w:val="21"/>
          <w:szCs w:val="21"/>
        </w:rPr>
      </w:pPr>
      <w:r w:rsidRPr="001F0D1E">
        <w:rPr>
          <w:rFonts w:ascii="宋体" w:eastAsia="宋体" w:hAnsi="宋体" w:cs="宋体" w:hint="eastAsia"/>
          <w:color w:val="070707"/>
          <w:sz w:val="21"/>
          <w:szCs w:val="21"/>
        </w:rPr>
        <w:t>第十九条 本办法中重要信息系统指政府部门、军队以及银行、海关、税务、电力、铁路、证券、保险、民航等关系国计民生的重要行业使用的信息系统。</w:t>
      </w:r>
    </w:p>
    <w:p w:rsidR="001F0D1E" w:rsidRPr="001F0D1E" w:rsidRDefault="001F0D1E" w:rsidP="001F0D1E">
      <w:pPr>
        <w:adjustRightInd/>
        <w:snapToGrid/>
        <w:spacing w:after="0"/>
        <w:rPr>
          <w:rFonts w:ascii="宋体" w:eastAsia="宋体" w:hAnsi="宋体" w:cs="宋体" w:hint="eastAsia"/>
          <w:color w:val="070707"/>
          <w:sz w:val="21"/>
          <w:szCs w:val="21"/>
        </w:rPr>
      </w:pPr>
      <w:r w:rsidRPr="001F0D1E">
        <w:rPr>
          <w:rFonts w:ascii="宋体" w:eastAsia="宋体" w:hAnsi="宋体" w:cs="宋体" w:hint="eastAsia"/>
          <w:color w:val="070707"/>
          <w:sz w:val="21"/>
          <w:szCs w:val="21"/>
        </w:rPr>
        <w:t>第二十条 本办法自2009年6月1日起实施。 </w:t>
      </w:r>
      <w:r w:rsidRPr="001F0D1E">
        <w:rPr>
          <w:rFonts w:ascii="宋体" w:eastAsia="宋体" w:hAnsi="宋体" w:cs="宋体" w:hint="eastAsia"/>
          <w:color w:val="070707"/>
          <w:sz w:val="21"/>
          <w:szCs w:val="21"/>
        </w:rPr>
        <w:br/>
        <w:t>附件一：监测和通报流程图（ </w:t>
      </w:r>
      <w:bookmarkStart w:id="0" w:name="attachment"/>
      <w:r w:rsidRPr="001F0D1E">
        <w:rPr>
          <w:rFonts w:ascii="宋体" w:eastAsia="宋体" w:hAnsi="宋体" w:cs="宋体"/>
          <w:color w:val="070707"/>
          <w:sz w:val="21"/>
          <w:szCs w:val="21"/>
        </w:rPr>
        <w:fldChar w:fldCharType="begin"/>
      </w:r>
      <w:r w:rsidRPr="001F0D1E">
        <w:rPr>
          <w:rFonts w:ascii="宋体" w:eastAsia="宋体" w:hAnsi="宋体" w:cs="宋体"/>
          <w:color w:val="070707"/>
          <w:sz w:val="21"/>
          <w:szCs w:val="21"/>
        </w:rPr>
        <w:instrText xml:space="preserve"> HYPERLINK "http://www.miit.gov.cn/n1146295/n1146592/n3917132/n4062282/n4062316/n4062350/n4062351/c4098193/part/4098194.pdf" \t "_blank" </w:instrText>
      </w:r>
      <w:r w:rsidRPr="001F0D1E">
        <w:rPr>
          <w:rFonts w:ascii="宋体" w:eastAsia="宋体" w:hAnsi="宋体" w:cs="宋体"/>
          <w:color w:val="070707"/>
          <w:sz w:val="21"/>
          <w:szCs w:val="21"/>
        </w:rPr>
        <w:fldChar w:fldCharType="separate"/>
      </w:r>
      <w:r w:rsidRPr="001F0D1E">
        <w:rPr>
          <w:rFonts w:ascii="宋体" w:eastAsia="宋体" w:hAnsi="宋体" w:cs="宋体" w:hint="eastAsia"/>
          <w:color w:val="000000"/>
          <w:sz w:val="21"/>
        </w:rPr>
        <w:t>下载</w:t>
      </w:r>
      <w:r w:rsidRPr="001F0D1E">
        <w:rPr>
          <w:rFonts w:ascii="宋体" w:eastAsia="宋体" w:hAnsi="宋体" w:cs="宋体"/>
          <w:color w:val="070707"/>
          <w:sz w:val="21"/>
          <w:szCs w:val="21"/>
        </w:rPr>
        <w:fldChar w:fldCharType="end"/>
      </w:r>
      <w:r w:rsidRPr="001F0D1E">
        <w:rPr>
          <w:rFonts w:ascii="宋体" w:eastAsia="宋体" w:hAnsi="宋体" w:cs="宋体" w:hint="eastAsia"/>
          <w:color w:val="070707"/>
          <w:sz w:val="21"/>
          <w:szCs w:val="21"/>
        </w:rPr>
        <w:t>） </w:t>
      </w:r>
      <w:r w:rsidRPr="001F0D1E">
        <w:rPr>
          <w:rFonts w:ascii="宋体" w:eastAsia="宋体" w:hAnsi="宋体" w:cs="宋体" w:hint="eastAsia"/>
          <w:color w:val="070707"/>
          <w:sz w:val="21"/>
          <w:szCs w:val="21"/>
        </w:rPr>
        <w:br/>
        <w:t>附件二：处置和反馈流程图（ </w:t>
      </w:r>
      <w:hyperlink r:id="rId4" w:tgtFrame="_blank" w:history="1">
        <w:r w:rsidRPr="001F0D1E">
          <w:rPr>
            <w:rFonts w:ascii="宋体" w:eastAsia="宋体" w:hAnsi="宋体" w:cs="宋体" w:hint="eastAsia"/>
            <w:color w:val="000000"/>
            <w:sz w:val="21"/>
          </w:rPr>
          <w:t>下载</w:t>
        </w:r>
      </w:hyperlink>
      <w:r w:rsidRPr="001F0D1E">
        <w:rPr>
          <w:rFonts w:ascii="宋体" w:eastAsia="宋体" w:hAnsi="宋体" w:cs="宋体" w:hint="eastAsia"/>
          <w:color w:val="070707"/>
          <w:sz w:val="21"/>
          <w:szCs w:val="21"/>
        </w:rPr>
        <w:t>） </w:t>
      </w:r>
      <w:r w:rsidRPr="001F0D1E">
        <w:rPr>
          <w:rFonts w:ascii="宋体" w:eastAsia="宋体" w:hAnsi="宋体" w:cs="宋体" w:hint="eastAsia"/>
          <w:color w:val="070707"/>
          <w:sz w:val="21"/>
          <w:szCs w:val="21"/>
        </w:rPr>
        <w:br/>
        <w:t>附件三：事件通报表格（ </w:t>
      </w:r>
      <w:hyperlink r:id="rId5" w:tgtFrame="_blank" w:history="1">
        <w:r w:rsidRPr="001F0D1E">
          <w:rPr>
            <w:rFonts w:ascii="宋体" w:eastAsia="宋体" w:hAnsi="宋体" w:cs="宋体" w:hint="eastAsia"/>
            <w:color w:val="000000"/>
            <w:sz w:val="21"/>
          </w:rPr>
          <w:t>下载</w:t>
        </w:r>
      </w:hyperlink>
      <w:bookmarkEnd w:id="0"/>
      <w:r w:rsidRPr="001F0D1E">
        <w:rPr>
          <w:rFonts w:ascii="宋体" w:eastAsia="宋体" w:hAnsi="宋体" w:cs="宋体" w:hint="eastAsia"/>
          <w:color w:val="070707"/>
          <w:sz w:val="21"/>
          <w:szCs w:val="21"/>
        </w:rPr>
        <w:t>） </w:t>
      </w:r>
      <w:r w:rsidRPr="001F0D1E">
        <w:rPr>
          <w:rFonts w:ascii="宋体" w:eastAsia="宋体" w:hAnsi="宋体" w:cs="宋体" w:hint="eastAsia"/>
          <w:color w:val="070707"/>
          <w:sz w:val="21"/>
          <w:szCs w:val="21"/>
        </w:rPr>
        <w:br/>
        <w:t>附件四：联系方式 </w:t>
      </w:r>
      <w:r w:rsidRPr="001F0D1E">
        <w:rPr>
          <w:rFonts w:ascii="宋体" w:eastAsia="宋体" w:hAnsi="宋体" w:cs="宋体" w:hint="eastAsia"/>
          <w:color w:val="070707"/>
          <w:sz w:val="21"/>
          <w:szCs w:val="21"/>
        </w:rPr>
        <w:br/>
        <w:t>（1）通信保障局 </w:t>
      </w:r>
      <w:r w:rsidRPr="001F0D1E">
        <w:rPr>
          <w:rFonts w:ascii="宋体" w:eastAsia="宋体" w:hAnsi="宋体" w:cs="宋体" w:hint="eastAsia"/>
          <w:color w:val="070707"/>
          <w:sz w:val="21"/>
          <w:szCs w:val="21"/>
        </w:rPr>
        <w:br/>
        <w:t>主管领导： 熊四皓 010-66069910 </w:t>
      </w:r>
      <w:r w:rsidRPr="001F0D1E">
        <w:rPr>
          <w:rFonts w:ascii="宋体" w:eastAsia="宋体" w:hAnsi="宋体" w:cs="宋体" w:hint="eastAsia"/>
          <w:color w:val="070707"/>
          <w:sz w:val="21"/>
          <w:szCs w:val="21"/>
        </w:rPr>
        <w:br/>
        <w:t>联 系 人： 闫宏强 010-66069895，13011881107 </w:t>
      </w:r>
      <w:r w:rsidRPr="001F0D1E">
        <w:rPr>
          <w:rFonts w:ascii="宋体" w:eastAsia="宋体" w:hAnsi="宋体" w:cs="宋体" w:hint="eastAsia"/>
          <w:color w:val="070707"/>
          <w:sz w:val="21"/>
          <w:szCs w:val="21"/>
        </w:rPr>
        <w:br/>
        <w:t>付景广 010-66022774，13701353949</w:t>
      </w:r>
    </w:p>
    <w:p w:rsidR="001F0D1E" w:rsidRPr="001F0D1E" w:rsidRDefault="001F0D1E" w:rsidP="001F0D1E">
      <w:pPr>
        <w:adjustRightInd/>
        <w:snapToGrid/>
        <w:spacing w:after="0"/>
        <w:rPr>
          <w:rFonts w:ascii="宋体" w:eastAsia="宋体" w:hAnsi="宋体" w:cs="宋体" w:hint="eastAsia"/>
          <w:color w:val="070707"/>
          <w:sz w:val="21"/>
          <w:szCs w:val="21"/>
        </w:rPr>
      </w:pPr>
      <w:r w:rsidRPr="001F0D1E">
        <w:rPr>
          <w:rFonts w:ascii="宋体" w:eastAsia="宋体" w:hAnsi="宋体" w:cs="宋体" w:hint="eastAsia"/>
          <w:color w:val="070707"/>
          <w:sz w:val="21"/>
          <w:szCs w:val="21"/>
        </w:rPr>
        <w:t>（2）工业和信息化部24小时值班电话：010-66014249</w:t>
      </w:r>
    </w:p>
    <w:p w:rsidR="001F0D1E" w:rsidRPr="001F0D1E" w:rsidRDefault="001F0D1E" w:rsidP="001F0D1E">
      <w:pPr>
        <w:adjustRightInd/>
        <w:snapToGrid/>
        <w:spacing w:after="0"/>
        <w:rPr>
          <w:rFonts w:ascii="宋体" w:eastAsia="宋体" w:hAnsi="宋体" w:cs="宋体" w:hint="eastAsia"/>
          <w:color w:val="070707"/>
          <w:sz w:val="21"/>
          <w:szCs w:val="21"/>
        </w:rPr>
      </w:pPr>
      <w:r w:rsidRPr="001F0D1E">
        <w:rPr>
          <w:rFonts w:ascii="宋体" w:eastAsia="宋体" w:hAnsi="宋体" w:cs="宋体" w:hint="eastAsia"/>
          <w:color w:val="070707"/>
          <w:sz w:val="21"/>
          <w:szCs w:val="21"/>
        </w:rPr>
        <w:t>（3）CNCERT </w:t>
      </w:r>
      <w:r w:rsidRPr="001F0D1E">
        <w:rPr>
          <w:rFonts w:ascii="宋体" w:eastAsia="宋体" w:hAnsi="宋体" w:cs="宋体" w:hint="eastAsia"/>
          <w:color w:val="070707"/>
          <w:sz w:val="21"/>
          <w:szCs w:val="21"/>
        </w:rPr>
        <w:br/>
        <w:t>主管领导：云晓春 010－82990501 </w:t>
      </w:r>
      <w:r w:rsidRPr="001F0D1E">
        <w:rPr>
          <w:rFonts w:ascii="宋体" w:eastAsia="宋体" w:hAnsi="宋体" w:cs="宋体" w:hint="eastAsia"/>
          <w:color w:val="070707"/>
          <w:sz w:val="21"/>
          <w:szCs w:val="21"/>
        </w:rPr>
        <w:br/>
        <w:t>联 系 人：孙蔚敏 010－82990103 13911218086 </w:t>
      </w:r>
      <w:r w:rsidRPr="001F0D1E">
        <w:rPr>
          <w:rFonts w:ascii="宋体" w:eastAsia="宋体" w:hAnsi="宋体" w:cs="宋体" w:hint="eastAsia"/>
          <w:color w:val="070707"/>
          <w:sz w:val="21"/>
          <w:szCs w:val="21"/>
        </w:rPr>
        <w:br/>
        <w:t>          温森浩 010－82990680 13810059765 </w:t>
      </w:r>
      <w:r w:rsidRPr="001F0D1E">
        <w:rPr>
          <w:rFonts w:ascii="宋体" w:eastAsia="宋体" w:hAnsi="宋体" w:cs="宋体" w:hint="eastAsia"/>
          <w:color w:val="070707"/>
          <w:sz w:val="21"/>
          <w:szCs w:val="21"/>
        </w:rPr>
        <w:br/>
        <w:t>CNCERT 24小时值班电话：010－82990999 </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F0D1E"/>
    <w:rsid w:val="00323B43"/>
    <w:rsid w:val="003D37D8"/>
    <w:rsid w:val="00426133"/>
    <w:rsid w:val="004358AB"/>
    <w:rsid w:val="008B7726"/>
    <w:rsid w:val="00CD115D"/>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F0D1E"/>
    <w:rPr>
      <w:color w:val="0000FF"/>
      <w:u w:val="single"/>
    </w:rPr>
  </w:style>
</w:styles>
</file>

<file path=word/webSettings.xml><?xml version="1.0" encoding="utf-8"?>
<w:webSettings xmlns:r="http://schemas.openxmlformats.org/officeDocument/2006/relationships" xmlns:w="http://schemas.openxmlformats.org/wordprocessingml/2006/main">
  <w:divs>
    <w:div w:id="1845707499">
      <w:bodyDiv w:val="1"/>
      <w:marLeft w:val="0"/>
      <w:marRight w:val="0"/>
      <w:marTop w:val="0"/>
      <w:marBottom w:val="0"/>
      <w:divBdr>
        <w:top w:val="none" w:sz="0" w:space="0" w:color="auto"/>
        <w:left w:val="none" w:sz="0" w:space="0" w:color="auto"/>
        <w:bottom w:val="none" w:sz="0" w:space="0" w:color="auto"/>
        <w:right w:val="none" w:sz="0" w:space="0" w:color="auto"/>
      </w:divBdr>
      <w:divsChild>
        <w:div w:id="488253869">
          <w:marLeft w:val="0"/>
          <w:marRight w:val="0"/>
          <w:marTop w:val="0"/>
          <w:marBottom w:val="0"/>
          <w:divBdr>
            <w:top w:val="none" w:sz="0" w:space="0" w:color="auto"/>
            <w:left w:val="none" w:sz="0" w:space="0" w:color="auto"/>
            <w:bottom w:val="none" w:sz="0" w:space="0" w:color="auto"/>
            <w:right w:val="none" w:sz="0" w:space="0" w:color="auto"/>
          </w:divBdr>
        </w:div>
        <w:div w:id="1713920290">
          <w:marLeft w:val="0"/>
          <w:marRight w:val="0"/>
          <w:marTop w:val="0"/>
          <w:marBottom w:val="0"/>
          <w:divBdr>
            <w:top w:val="none" w:sz="0" w:space="0" w:color="auto"/>
            <w:left w:val="none" w:sz="0" w:space="0" w:color="auto"/>
            <w:bottom w:val="none" w:sz="0" w:space="0" w:color="auto"/>
            <w:right w:val="none" w:sz="0" w:space="0" w:color="auto"/>
          </w:divBdr>
        </w:div>
        <w:div w:id="2096246322">
          <w:marLeft w:val="0"/>
          <w:marRight w:val="0"/>
          <w:marTop w:val="0"/>
          <w:marBottom w:val="0"/>
          <w:divBdr>
            <w:top w:val="none" w:sz="0" w:space="0" w:color="auto"/>
            <w:left w:val="none" w:sz="0" w:space="0" w:color="auto"/>
            <w:bottom w:val="none" w:sz="0" w:space="0" w:color="auto"/>
            <w:right w:val="none" w:sz="0" w:space="0" w:color="auto"/>
          </w:divBdr>
        </w:div>
        <w:div w:id="1285428325">
          <w:marLeft w:val="0"/>
          <w:marRight w:val="0"/>
          <w:marTop w:val="0"/>
          <w:marBottom w:val="0"/>
          <w:divBdr>
            <w:top w:val="none" w:sz="0" w:space="0" w:color="auto"/>
            <w:left w:val="none" w:sz="0" w:space="0" w:color="auto"/>
            <w:bottom w:val="none" w:sz="0" w:space="0" w:color="auto"/>
            <w:right w:val="none" w:sz="0" w:space="0" w:color="auto"/>
          </w:divBdr>
        </w:div>
        <w:div w:id="2011057450">
          <w:marLeft w:val="0"/>
          <w:marRight w:val="0"/>
          <w:marTop w:val="0"/>
          <w:marBottom w:val="0"/>
          <w:divBdr>
            <w:top w:val="none" w:sz="0" w:space="0" w:color="auto"/>
            <w:left w:val="none" w:sz="0" w:space="0" w:color="auto"/>
            <w:bottom w:val="none" w:sz="0" w:space="0" w:color="auto"/>
            <w:right w:val="none" w:sz="0" w:space="0" w:color="auto"/>
          </w:divBdr>
        </w:div>
        <w:div w:id="1540126251">
          <w:marLeft w:val="0"/>
          <w:marRight w:val="0"/>
          <w:marTop w:val="0"/>
          <w:marBottom w:val="0"/>
          <w:divBdr>
            <w:top w:val="none" w:sz="0" w:space="0" w:color="auto"/>
            <w:left w:val="none" w:sz="0" w:space="0" w:color="auto"/>
            <w:bottom w:val="none" w:sz="0" w:space="0" w:color="auto"/>
            <w:right w:val="none" w:sz="0" w:space="0" w:color="auto"/>
          </w:divBdr>
        </w:div>
        <w:div w:id="75202434">
          <w:marLeft w:val="0"/>
          <w:marRight w:val="0"/>
          <w:marTop w:val="0"/>
          <w:marBottom w:val="0"/>
          <w:divBdr>
            <w:top w:val="none" w:sz="0" w:space="0" w:color="auto"/>
            <w:left w:val="none" w:sz="0" w:space="0" w:color="auto"/>
            <w:bottom w:val="none" w:sz="0" w:space="0" w:color="auto"/>
            <w:right w:val="none" w:sz="0" w:space="0" w:color="auto"/>
          </w:divBdr>
        </w:div>
        <w:div w:id="1367830520">
          <w:marLeft w:val="0"/>
          <w:marRight w:val="0"/>
          <w:marTop w:val="0"/>
          <w:marBottom w:val="0"/>
          <w:divBdr>
            <w:top w:val="none" w:sz="0" w:space="0" w:color="auto"/>
            <w:left w:val="none" w:sz="0" w:space="0" w:color="auto"/>
            <w:bottom w:val="none" w:sz="0" w:space="0" w:color="auto"/>
            <w:right w:val="none" w:sz="0" w:space="0" w:color="auto"/>
          </w:divBdr>
        </w:div>
        <w:div w:id="720398512">
          <w:marLeft w:val="0"/>
          <w:marRight w:val="0"/>
          <w:marTop w:val="0"/>
          <w:marBottom w:val="0"/>
          <w:divBdr>
            <w:top w:val="none" w:sz="0" w:space="0" w:color="auto"/>
            <w:left w:val="none" w:sz="0" w:space="0" w:color="auto"/>
            <w:bottom w:val="none" w:sz="0" w:space="0" w:color="auto"/>
            <w:right w:val="none" w:sz="0" w:space="0" w:color="auto"/>
          </w:divBdr>
        </w:div>
        <w:div w:id="1480926806">
          <w:marLeft w:val="0"/>
          <w:marRight w:val="0"/>
          <w:marTop w:val="0"/>
          <w:marBottom w:val="0"/>
          <w:divBdr>
            <w:top w:val="none" w:sz="0" w:space="0" w:color="auto"/>
            <w:left w:val="none" w:sz="0" w:space="0" w:color="auto"/>
            <w:bottom w:val="none" w:sz="0" w:space="0" w:color="auto"/>
            <w:right w:val="none" w:sz="0" w:space="0" w:color="auto"/>
          </w:divBdr>
        </w:div>
        <w:div w:id="1155148376">
          <w:marLeft w:val="0"/>
          <w:marRight w:val="0"/>
          <w:marTop w:val="0"/>
          <w:marBottom w:val="0"/>
          <w:divBdr>
            <w:top w:val="none" w:sz="0" w:space="0" w:color="auto"/>
            <w:left w:val="none" w:sz="0" w:space="0" w:color="auto"/>
            <w:bottom w:val="none" w:sz="0" w:space="0" w:color="auto"/>
            <w:right w:val="none" w:sz="0" w:space="0" w:color="auto"/>
          </w:divBdr>
        </w:div>
        <w:div w:id="1944340694">
          <w:marLeft w:val="0"/>
          <w:marRight w:val="0"/>
          <w:marTop w:val="0"/>
          <w:marBottom w:val="0"/>
          <w:divBdr>
            <w:top w:val="none" w:sz="0" w:space="0" w:color="auto"/>
            <w:left w:val="none" w:sz="0" w:space="0" w:color="auto"/>
            <w:bottom w:val="none" w:sz="0" w:space="0" w:color="auto"/>
            <w:right w:val="none" w:sz="0" w:space="0" w:color="auto"/>
          </w:divBdr>
        </w:div>
        <w:div w:id="1337732039">
          <w:marLeft w:val="0"/>
          <w:marRight w:val="0"/>
          <w:marTop w:val="0"/>
          <w:marBottom w:val="0"/>
          <w:divBdr>
            <w:top w:val="none" w:sz="0" w:space="0" w:color="auto"/>
            <w:left w:val="none" w:sz="0" w:space="0" w:color="auto"/>
            <w:bottom w:val="none" w:sz="0" w:space="0" w:color="auto"/>
            <w:right w:val="none" w:sz="0" w:space="0" w:color="auto"/>
          </w:divBdr>
        </w:div>
        <w:div w:id="80294211">
          <w:marLeft w:val="0"/>
          <w:marRight w:val="0"/>
          <w:marTop w:val="0"/>
          <w:marBottom w:val="0"/>
          <w:divBdr>
            <w:top w:val="none" w:sz="0" w:space="0" w:color="auto"/>
            <w:left w:val="none" w:sz="0" w:space="0" w:color="auto"/>
            <w:bottom w:val="none" w:sz="0" w:space="0" w:color="auto"/>
            <w:right w:val="none" w:sz="0" w:space="0" w:color="auto"/>
          </w:divBdr>
        </w:div>
        <w:div w:id="2092968822">
          <w:marLeft w:val="0"/>
          <w:marRight w:val="0"/>
          <w:marTop w:val="0"/>
          <w:marBottom w:val="0"/>
          <w:divBdr>
            <w:top w:val="none" w:sz="0" w:space="0" w:color="auto"/>
            <w:left w:val="none" w:sz="0" w:space="0" w:color="auto"/>
            <w:bottom w:val="none" w:sz="0" w:space="0" w:color="auto"/>
            <w:right w:val="none" w:sz="0" w:space="0" w:color="auto"/>
          </w:divBdr>
        </w:div>
        <w:div w:id="1891569326">
          <w:marLeft w:val="0"/>
          <w:marRight w:val="0"/>
          <w:marTop w:val="0"/>
          <w:marBottom w:val="0"/>
          <w:divBdr>
            <w:top w:val="none" w:sz="0" w:space="0" w:color="auto"/>
            <w:left w:val="none" w:sz="0" w:space="0" w:color="auto"/>
            <w:bottom w:val="none" w:sz="0" w:space="0" w:color="auto"/>
            <w:right w:val="none" w:sz="0" w:space="0" w:color="auto"/>
          </w:divBdr>
        </w:div>
        <w:div w:id="879898110">
          <w:marLeft w:val="0"/>
          <w:marRight w:val="0"/>
          <w:marTop w:val="0"/>
          <w:marBottom w:val="0"/>
          <w:divBdr>
            <w:top w:val="none" w:sz="0" w:space="0" w:color="auto"/>
            <w:left w:val="none" w:sz="0" w:space="0" w:color="auto"/>
            <w:bottom w:val="none" w:sz="0" w:space="0" w:color="auto"/>
            <w:right w:val="none" w:sz="0" w:space="0" w:color="auto"/>
          </w:divBdr>
        </w:div>
        <w:div w:id="85006304">
          <w:marLeft w:val="0"/>
          <w:marRight w:val="0"/>
          <w:marTop w:val="0"/>
          <w:marBottom w:val="0"/>
          <w:divBdr>
            <w:top w:val="none" w:sz="0" w:space="0" w:color="auto"/>
            <w:left w:val="none" w:sz="0" w:space="0" w:color="auto"/>
            <w:bottom w:val="none" w:sz="0" w:space="0" w:color="auto"/>
            <w:right w:val="none" w:sz="0" w:space="0" w:color="auto"/>
          </w:divBdr>
        </w:div>
        <w:div w:id="124474442">
          <w:marLeft w:val="0"/>
          <w:marRight w:val="0"/>
          <w:marTop w:val="0"/>
          <w:marBottom w:val="0"/>
          <w:divBdr>
            <w:top w:val="none" w:sz="0" w:space="0" w:color="auto"/>
            <w:left w:val="none" w:sz="0" w:space="0" w:color="auto"/>
            <w:bottom w:val="none" w:sz="0" w:space="0" w:color="auto"/>
            <w:right w:val="none" w:sz="0" w:space="0" w:color="auto"/>
          </w:divBdr>
        </w:div>
        <w:div w:id="829951128">
          <w:marLeft w:val="0"/>
          <w:marRight w:val="0"/>
          <w:marTop w:val="0"/>
          <w:marBottom w:val="0"/>
          <w:divBdr>
            <w:top w:val="none" w:sz="0" w:space="0" w:color="auto"/>
            <w:left w:val="none" w:sz="0" w:space="0" w:color="auto"/>
            <w:bottom w:val="none" w:sz="0" w:space="0" w:color="auto"/>
            <w:right w:val="none" w:sz="0" w:space="0" w:color="auto"/>
          </w:divBdr>
        </w:div>
        <w:div w:id="937297783">
          <w:marLeft w:val="0"/>
          <w:marRight w:val="0"/>
          <w:marTop w:val="0"/>
          <w:marBottom w:val="0"/>
          <w:divBdr>
            <w:top w:val="none" w:sz="0" w:space="0" w:color="auto"/>
            <w:left w:val="none" w:sz="0" w:space="0" w:color="auto"/>
            <w:bottom w:val="none" w:sz="0" w:space="0" w:color="auto"/>
            <w:right w:val="none" w:sz="0" w:space="0" w:color="auto"/>
          </w:divBdr>
        </w:div>
        <w:div w:id="1749840931">
          <w:marLeft w:val="0"/>
          <w:marRight w:val="0"/>
          <w:marTop w:val="0"/>
          <w:marBottom w:val="0"/>
          <w:divBdr>
            <w:top w:val="none" w:sz="0" w:space="0" w:color="auto"/>
            <w:left w:val="none" w:sz="0" w:space="0" w:color="auto"/>
            <w:bottom w:val="none" w:sz="0" w:space="0" w:color="auto"/>
            <w:right w:val="none" w:sz="0" w:space="0" w:color="auto"/>
          </w:divBdr>
        </w:div>
        <w:div w:id="383411140">
          <w:marLeft w:val="0"/>
          <w:marRight w:val="0"/>
          <w:marTop w:val="0"/>
          <w:marBottom w:val="0"/>
          <w:divBdr>
            <w:top w:val="none" w:sz="0" w:space="0" w:color="auto"/>
            <w:left w:val="none" w:sz="0" w:space="0" w:color="auto"/>
            <w:bottom w:val="none" w:sz="0" w:space="0" w:color="auto"/>
            <w:right w:val="none" w:sz="0" w:space="0" w:color="auto"/>
          </w:divBdr>
        </w:div>
        <w:div w:id="2127239040">
          <w:marLeft w:val="0"/>
          <w:marRight w:val="0"/>
          <w:marTop w:val="0"/>
          <w:marBottom w:val="0"/>
          <w:divBdr>
            <w:top w:val="none" w:sz="0" w:space="0" w:color="auto"/>
            <w:left w:val="none" w:sz="0" w:space="0" w:color="auto"/>
            <w:bottom w:val="none" w:sz="0" w:space="0" w:color="auto"/>
            <w:right w:val="none" w:sz="0" w:space="0" w:color="auto"/>
          </w:divBdr>
        </w:div>
        <w:div w:id="341058050">
          <w:marLeft w:val="0"/>
          <w:marRight w:val="0"/>
          <w:marTop w:val="0"/>
          <w:marBottom w:val="0"/>
          <w:divBdr>
            <w:top w:val="none" w:sz="0" w:space="0" w:color="auto"/>
            <w:left w:val="none" w:sz="0" w:space="0" w:color="auto"/>
            <w:bottom w:val="none" w:sz="0" w:space="0" w:color="auto"/>
            <w:right w:val="none" w:sz="0" w:space="0" w:color="auto"/>
          </w:divBdr>
        </w:div>
        <w:div w:id="1053310737">
          <w:marLeft w:val="0"/>
          <w:marRight w:val="0"/>
          <w:marTop w:val="0"/>
          <w:marBottom w:val="0"/>
          <w:divBdr>
            <w:top w:val="none" w:sz="0" w:space="0" w:color="auto"/>
            <w:left w:val="none" w:sz="0" w:space="0" w:color="auto"/>
            <w:bottom w:val="none" w:sz="0" w:space="0" w:color="auto"/>
            <w:right w:val="none" w:sz="0" w:space="0" w:color="auto"/>
          </w:divBdr>
        </w:div>
        <w:div w:id="23867271">
          <w:marLeft w:val="0"/>
          <w:marRight w:val="0"/>
          <w:marTop w:val="0"/>
          <w:marBottom w:val="0"/>
          <w:divBdr>
            <w:top w:val="none" w:sz="0" w:space="0" w:color="auto"/>
            <w:left w:val="none" w:sz="0" w:space="0" w:color="auto"/>
            <w:bottom w:val="none" w:sz="0" w:space="0" w:color="auto"/>
            <w:right w:val="none" w:sz="0" w:space="0" w:color="auto"/>
          </w:divBdr>
        </w:div>
        <w:div w:id="1367680086">
          <w:marLeft w:val="0"/>
          <w:marRight w:val="0"/>
          <w:marTop w:val="0"/>
          <w:marBottom w:val="0"/>
          <w:divBdr>
            <w:top w:val="none" w:sz="0" w:space="0" w:color="auto"/>
            <w:left w:val="none" w:sz="0" w:space="0" w:color="auto"/>
            <w:bottom w:val="none" w:sz="0" w:space="0" w:color="auto"/>
            <w:right w:val="none" w:sz="0" w:space="0" w:color="auto"/>
          </w:divBdr>
        </w:div>
        <w:div w:id="2114128833">
          <w:marLeft w:val="0"/>
          <w:marRight w:val="0"/>
          <w:marTop w:val="0"/>
          <w:marBottom w:val="0"/>
          <w:divBdr>
            <w:top w:val="none" w:sz="0" w:space="0" w:color="auto"/>
            <w:left w:val="none" w:sz="0" w:space="0" w:color="auto"/>
            <w:bottom w:val="none" w:sz="0" w:space="0" w:color="auto"/>
            <w:right w:val="none" w:sz="0" w:space="0" w:color="auto"/>
          </w:divBdr>
        </w:div>
        <w:div w:id="1834762234">
          <w:marLeft w:val="0"/>
          <w:marRight w:val="0"/>
          <w:marTop w:val="0"/>
          <w:marBottom w:val="0"/>
          <w:divBdr>
            <w:top w:val="none" w:sz="0" w:space="0" w:color="auto"/>
            <w:left w:val="none" w:sz="0" w:space="0" w:color="auto"/>
            <w:bottom w:val="none" w:sz="0" w:space="0" w:color="auto"/>
            <w:right w:val="none" w:sz="0" w:space="0" w:color="auto"/>
          </w:divBdr>
        </w:div>
        <w:div w:id="2083674256">
          <w:marLeft w:val="0"/>
          <w:marRight w:val="0"/>
          <w:marTop w:val="0"/>
          <w:marBottom w:val="0"/>
          <w:divBdr>
            <w:top w:val="none" w:sz="0" w:space="0" w:color="auto"/>
            <w:left w:val="none" w:sz="0" w:space="0" w:color="auto"/>
            <w:bottom w:val="none" w:sz="0" w:space="0" w:color="auto"/>
            <w:right w:val="none" w:sz="0" w:space="0" w:color="auto"/>
          </w:divBdr>
        </w:div>
        <w:div w:id="699938391">
          <w:marLeft w:val="0"/>
          <w:marRight w:val="0"/>
          <w:marTop w:val="0"/>
          <w:marBottom w:val="0"/>
          <w:divBdr>
            <w:top w:val="none" w:sz="0" w:space="0" w:color="auto"/>
            <w:left w:val="none" w:sz="0" w:space="0" w:color="auto"/>
            <w:bottom w:val="none" w:sz="0" w:space="0" w:color="auto"/>
            <w:right w:val="none" w:sz="0" w:space="0" w:color="auto"/>
          </w:divBdr>
        </w:div>
        <w:div w:id="952899671">
          <w:marLeft w:val="0"/>
          <w:marRight w:val="0"/>
          <w:marTop w:val="0"/>
          <w:marBottom w:val="0"/>
          <w:divBdr>
            <w:top w:val="none" w:sz="0" w:space="0" w:color="auto"/>
            <w:left w:val="none" w:sz="0" w:space="0" w:color="auto"/>
            <w:bottom w:val="none" w:sz="0" w:space="0" w:color="auto"/>
            <w:right w:val="none" w:sz="0" w:space="0" w:color="auto"/>
          </w:divBdr>
        </w:div>
        <w:div w:id="1176188430">
          <w:marLeft w:val="0"/>
          <w:marRight w:val="0"/>
          <w:marTop w:val="0"/>
          <w:marBottom w:val="0"/>
          <w:divBdr>
            <w:top w:val="none" w:sz="0" w:space="0" w:color="auto"/>
            <w:left w:val="none" w:sz="0" w:space="0" w:color="auto"/>
            <w:bottom w:val="none" w:sz="0" w:space="0" w:color="auto"/>
            <w:right w:val="none" w:sz="0" w:space="0" w:color="auto"/>
          </w:divBdr>
        </w:div>
        <w:div w:id="1564830272">
          <w:marLeft w:val="0"/>
          <w:marRight w:val="0"/>
          <w:marTop w:val="0"/>
          <w:marBottom w:val="0"/>
          <w:divBdr>
            <w:top w:val="none" w:sz="0" w:space="0" w:color="auto"/>
            <w:left w:val="none" w:sz="0" w:space="0" w:color="auto"/>
            <w:bottom w:val="none" w:sz="0" w:space="0" w:color="auto"/>
            <w:right w:val="none" w:sz="0" w:space="0" w:color="auto"/>
          </w:divBdr>
        </w:div>
        <w:div w:id="977610010">
          <w:marLeft w:val="0"/>
          <w:marRight w:val="0"/>
          <w:marTop w:val="0"/>
          <w:marBottom w:val="0"/>
          <w:divBdr>
            <w:top w:val="none" w:sz="0" w:space="0" w:color="auto"/>
            <w:left w:val="none" w:sz="0" w:space="0" w:color="auto"/>
            <w:bottom w:val="none" w:sz="0" w:space="0" w:color="auto"/>
            <w:right w:val="none" w:sz="0" w:space="0" w:color="auto"/>
          </w:divBdr>
        </w:div>
        <w:div w:id="1458766276">
          <w:marLeft w:val="0"/>
          <w:marRight w:val="0"/>
          <w:marTop w:val="0"/>
          <w:marBottom w:val="0"/>
          <w:divBdr>
            <w:top w:val="none" w:sz="0" w:space="0" w:color="auto"/>
            <w:left w:val="none" w:sz="0" w:space="0" w:color="auto"/>
            <w:bottom w:val="none" w:sz="0" w:space="0" w:color="auto"/>
            <w:right w:val="none" w:sz="0" w:space="0" w:color="auto"/>
          </w:divBdr>
        </w:div>
        <w:div w:id="1411004198">
          <w:marLeft w:val="0"/>
          <w:marRight w:val="0"/>
          <w:marTop w:val="0"/>
          <w:marBottom w:val="0"/>
          <w:divBdr>
            <w:top w:val="none" w:sz="0" w:space="0" w:color="auto"/>
            <w:left w:val="none" w:sz="0" w:space="0" w:color="auto"/>
            <w:bottom w:val="none" w:sz="0" w:space="0" w:color="auto"/>
            <w:right w:val="none" w:sz="0" w:space="0" w:color="auto"/>
          </w:divBdr>
        </w:div>
        <w:div w:id="1342047215">
          <w:marLeft w:val="0"/>
          <w:marRight w:val="0"/>
          <w:marTop w:val="0"/>
          <w:marBottom w:val="0"/>
          <w:divBdr>
            <w:top w:val="none" w:sz="0" w:space="0" w:color="auto"/>
            <w:left w:val="none" w:sz="0" w:space="0" w:color="auto"/>
            <w:bottom w:val="none" w:sz="0" w:space="0" w:color="auto"/>
            <w:right w:val="none" w:sz="0" w:space="0" w:color="auto"/>
          </w:divBdr>
        </w:div>
        <w:div w:id="1582787627">
          <w:marLeft w:val="0"/>
          <w:marRight w:val="0"/>
          <w:marTop w:val="0"/>
          <w:marBottom w:val="0"/>
          <w:divBdr>
            <w:top w:val="none" w:sz="0" w:space="0" w:color="auto"/>
            <w:left w:val="none" w:sz="0" w:space="0" w:color="auto"/>
            <w:bottom w:val="none" w:sz="0" w:space="0" w:color="auto"/>
            <w:right w:val="none" w:sz="0" w:space="0" w:color="auto"/>
          </w:divBdr>
        </w:div>
        <w:div w:id="1518033003">
          <w:marLeft w:val="0"/>
          <w:marRight w:val="0"/>
          <w:marTop w:val="0"/>
          <w:marBottom w:val="0"/>
          <w:divBdr>
            <w:top w:val="none" w:sz="0" w:space="0" w:color="auto"/>
            <w:left w:val="none" w:sz="0" w:space="0" w:color="auto"/>
            <w:bottom w:val="none" w:sz="0" w:space="0" w:color="auto"/>
            <w:right w:val="none" w:sz="0" w:space="0" w:color="auto"/>
          </w:divBdr>
        </w:div>
        <w:div w:id="716009198">
          <w:marLeft w:val="0"/>
          <w:marRight w:val="0"/>
          <w:marTop w:val="0"/>
          <w:marBottom w:val="0"/>
          <w:divBdr>
            <w:top w:val="none" w:sz="0" w:space="0" w:color="auto"/>
            <w:left w:val="none" w:sz="0" w:space="0" w:color="auto"/>
            <w:bottom w:val="none" w:sz="0" w:space="0" w:color="auto"/>
            <w:right w:val="none" w:sz="0" w:space="0" w:color="auto"/>
          </w:divBdr>
        </w:div>
        <w:div w:id="1312099320">
          <w:marLeft w:val="0"/>
          <w:marRight w:val="0"/>
          <w:marTop w:val="0"/>
          <w:marBottom w:val="0"/>
          <w:divBdr>
            <w:top w:val="none" w:sz="0" w:space="0" w:color="auto"/>
            <w:left w:val="none" w:sz="0" w:space="0" w:color="auto"/>
            <w:bottom w:val="none" w:sz="0" w:space="0" w:color="auto"/>
            <w:right w:val="none" w:sz="0" w:space="0" w:color="auto"/>
          </w:divBdr>
        </w:div>
        <w:div w:id="821384607">
          <w:marLeft w:val="0"/>
          <w:marRight w:val="0"/>
          <w:marTop w:val="0"/>
          <w:marBottom w:val="0"/>
          <w:divBdr>
            <w:top w:val="none" w:sz="0" w:space="0" w:color="auto"/>
            <w:left w:val="none" w:sz="0" w:space="0" w:color="auto"/>
            <w:bottom w:val="none" w:sz="0" w:space="0" w:color="auto"/>
            <w:right w:val="none" w:sz="0" w:space="0" w:color="auto"/>
          </w:divBdr>
        </w:div>
        <w:div w:id="1304583666">
          <w:marLeft w:val="0"/>
          <w:marRight w:val="0"/>
          <w:marTop w:val="0"/>
          <w:marBottom w:val="0"/>
          <w:divBdr>
            <w:top w:val="none" w:sz="0" w:space="0" w:color="auto"/>
            <w:left w:val="none" w:sz="0" w:space="0" w:color="auto"/>
            <w:bottom w:val="none" w:sz="0" w:space="0" w:color="auto"/>
            <w:right w:val="none" w:sz="0" w:space="0" w:color="auto"/>
          </w:divBdr>
        </w:div>
        <w:div w:id="585580260">
          <w:marLeft w:val="0"/>
          <w:marRight w:val="0"/>
          <w:marTop w:val="0"/>
          <w:marBottom w:val="0"/>
          <w:divBdr>
            <w:top w:val="none" w:sz="0" w:space="0" w:color="auto"/>
            <w:left w:val="none" w:sz="0" w:space="0" w:color="auto"/>
            <w:bottom w:val="none" w:sz="0" w:space="0" w:color="auto"/>
            <w:right w:val="none" w:sz="0" w:space="0" w:color="auto"/>
          </w:divBdr>
        </w:div>
        <w:div w:id="1370643315">
          <w:marLeft w:val="0"/>
          <w:marRight w:val="0"/>
          <w:marTop w:val="0"/>
          <w:marBottom w:val="0"/>
          <w:divBdr>
            <w:top w:val="none" w:sz="0" w:space="0" w:color="auto"/>
            <w:left w:val="none" w:sz="0" w:space="0" w:color="auto"/>
            <w:bottom w:val="none" w:sz="0" w:space="0" w:color="auto"/>
            <w:right w:val="none" w:sz="0" w:space="0" w:color="auto"/>
          </w:divBdr>
        </w:div>
        <w:div w:id="1861552772">
          <w:marLeft w:val="0"/>
          <w:marRight w:val="0"/>
          <w:marTop w:val="0"/>
          <w:marBottom w:val="0"/>
          <w:divBdr>
            <w:top w:val="none" w:sz="0" w:space="0" w:color="auto"/>
            <w:left w:val="none" w:sz="0" w:space="0" w:color="auto"/>
            <w:bottom w:val="none" w:sz="0" w:space="0" w:color="auto"/>
            <w:right w:val="none" w:sz="0" w:space="0" w:color="auto"/>
          </w:divBdr>
        </w:div>
        <w:div w:id="1650091280">
          <w:marLeft w:val="0"/>
          <w:marRight w:val="0"/>
          <w:marTop w:val="0"/>
          <w:marBottom w:val="0"/>
          <w:divBdr>
            <w:top w:val="none" w:sz="0" w:space="0" w:color="auto"/>
            <w:left w:val="none" w:sz="0" w:space="0" w:color="auto"/>
            <w:bottom w:val="none" w:sz="0" w:space="0" w:color="auto"/>
            <w:right w:val="none" w:sz="0" w:space="0" w:color="auto"/>
          </w:divBdr>
        </w:div>
        <w:div w:id="1067264575">
          <w:marLeft w:val="0"/>
          <w:marRight w:val="0"/>
          <w:marTop w:val="0"/>
          <w:marBottom w:val="0"/>
          <w:divBdr>
            <w:top w:val="none" w:sz="0" w:space="0" w:color="auto"/>
            <w:left w:val="none" w:sz="0" w:space="0" w:color="auto"/>
            <w:bottom w:val="none" w:sz="0" w:space="0" w:color="auto"/>
            <w:right w:val="none" w:sz="0" w:space="0" w:color="auto"/>
          </w:divBdr>
        </w:div>
        <w:div w:id="1267276169">
          <w:marLeft w:val="0"/>
          <w:marRight w:val="0"/>
          <w:marTop w:val="0"/>
          <w:marBottom w:val="0"/>
          <w:divBdr>
            <w:top w:val="none" w:sz="0" w:space="0" w:color="auto"/>
            <w:left w:val="none" w:sz="0" w:space="0" w:color="auto"/>
            <w:bottom w:val="none" w:sz="0" w:space="0" w:color="auto"/>
            <w:right w:val="none" w:sz="0" w:space="0" w:color="auto"/>
          </w:divBdr>
        </w:div>
        <w:div w:id="835653448">
          <w:marLeft w:val="0"/>
          <w:marRight w:val="0"/>
          <w:marTop w:val="0"/>
          <w:marBottom w:val="0"/>
          <w:divBdr>
            <w:top w:val="none" w:sz="0" w:space="0" w:color="auto"/>
            <w:left w:val="none" w:sz="0" w:space="0" w:color="auto"/>
            <w:bottom w:val="none" w:sz="0" w:space="0" w:color="auto"/>
            <w:right w:val="none" w:sz="0" w:space="0" w:color="auto"/>
          </w:divBdr>
        </w:div>
        <w:div w:id="1086347096">
          <w:marLeft w:val="0"/>
          <w:marRight w:val="0"/>
          <w:marTop w:val="0"/>
          <w:marBottom w:val="0"/>
          <w:divBdr>
            <w:top w:val="none" w:sz="0" w:space="0" w:color="auto"/>
            <w:left w:val="none" w:sz="0" w:space="0" w:color="auto"/>
            <w:bottom w:val="none" w:sz="0" w:space="0" w:color="auto"/>
            <w:right w:val="none" w:sz="0" w:space="0" w:color="auto"/>
          </w:divBdr>
        </w:div>
        <w:div w:id="2040272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it.gov.cn/n1146295/n1146592/n3917132/n4062282/n4062316/n4062350/n4062351/c4098193/part/4098196.doc" TargetMode="External"/><Relationship Id="rId4" Type="http://schemas.openxmlformats.org/officeDocument/2006/relationships/hyperlink" Target="http://www.miit.gov.cn/n1146295/n1146592/n3917132/n4062282/n4062316/n4062350/n4062351/c4098193/part/4098195.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602</Words>
  <Characters>3434</Characters>
  <Application>Microsoft Office Word</Application>
  <DocSecurity>0</DocSecurity>
  <Lines>28</Lines>
  <Paragraphs>8</Paragraphs>
  <ScaleCrop>false</ScaleCrop>
  <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2020-01-27T17:48:00Z</dcterms:modified>
</cp:coreProperties>
</file>